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7F" w:rsidRDefault="00F764CF">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9525" b="9525"/>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 xml:space="preserve">DISCUSSION PAPER ON </w:t>
      </w:r>
      <w:r w:rsidR="009B6C19">
        <w:rPr>
          <w:rFonts w:cs="Arial"/>
        </w:rPr>
        <w:t>PENALTY CLAUSES</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w:t>
      </w:r>
      <w:proofErr w:type="spellStart"/>
      <w:r w:rsidRPr="00193A11">
        <w:rPr>
          <w:rFonts w:cs="Arial"/>
        </w:rPr>
        <w:t>i</w:t>
      </w:r>
      <w:proofErr w:type="spellEnd"/>
      <w:r w:rsidRPr="00193A11">
        <w:rPr>
          <w:rFonts w:cs="Arial"/>
        </w:rPr>
        <w:t>)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9"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0"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w:t>
      </w:r>
      <w:proofErr w:type="spellStart"/>
      <w:r w:rsidR="001721D7" w:rsidRPr="00CE29B3">
        <w:rPr>
          <w:rFonts w:cs="Arial"/>
          <w:szCs w:val="22"/>
        </w:rPr>
        <w:t>Causewayside</w:t>
      </w:r>
      <w:proofErr w:type="spellEnd"/>
      <w:r w:rsidR="001721D7" w:rsidRPr="00CE29B3">
        <w:rPr>
          <w:rFonts w:cs="Arial"/>
          <w:szCs w:val="22"/>
        </w:rPr>
        <w:t>, Edinb</w:t>
      </w:r>
      <w:r w:rsidR="0026582F" w:rsidRPr="00CE29B3">
        <w:rPr>
          <w:rFonts w:cs="Arial"/>
          <w:szCs w:val="22"/>
        </w:rPr>
        <w:t>urgh</w:t>
      </w:r>
      <w:r w:rsidR="001721D7" w:rsidRPr="00CE29B3">
        <w:rPr>
          <w:rFonts w:cs="Arial"/>
          <w:szCs w:val="22"/>
        </w:rPr>
        <w:t xml:space="preserve"> </w:t>
      </w:r>
      <w:proofErr w:type="spellStart"/>
      <w:r w:rsidR="001721D7" w:rsidRPr="00CE29B3">
        <w:rPr>
          <w:rFonts w:cs="Arial"/>
          <w:szCs w:val="22"/>
        </w:rPr>
        <w:t>EH9</w:t>
      </w:r>
      <w:proofErr w:type="spellEnd"/>
      <w:r w:rsidR="001721D7" w:rsidRPr="00CE29B3">
        <w:rPr>
          <w:rFonts w:cs="Arial"/>
          <w:szCs w:val="22"/>
        </w:rPr>
        <w:t xml:space="preserve"> </w:t>
      </w:r>
      <w:proofErr w:type="spellStart"/>
      <w:r w:rsidR="001721D7" w:rsidRPr="00CE29B3">
        <w:rPr>
          <w:rFonts w:cs="Arial"/>
          <w:szCs w:val="22"/>
        </w:rPr>
        <w:t>1PR</w:t>
      </w:r>
      <w:proofErr w:type="spellEnd"/>
      <w:r w:rsidR="001721D7" w:rsidRPr="00CE29B3">
        <w:rPr>
          <w:rFonts w:cs="Arial"/>
          <w:szCs w:val="22"/>
        </w:rPr>
        <w:t>.</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009B6C19">
        <w:rPr>
          <w:b/>
          <w:sz w:val="36"/>
          <w:szCs w:val="36"/>
        </w:rPr>
        <w:lastRenderedPageBreak/>
        <w:t>List of Questions</w:t>
      </w:r>
    </w:p>
    <w:p w:rsidR="001721D7" w:rsidRDefault="001721D7">
      <w:pPr>
        <w:rPr>
          <w:rFonts w:cs="Arial"/>
        </w:rPr>
      </w:pPr>
    </w:p>
    <w:p w:rsidR="009B6C19" w:rsidRDefault="009B6C19" w:rsidP="009B6C19">
      <w:pPr>
        <w:ind w:left="720" w:hanging="720"/>
      </w:pPr>
      <w:r w:rsidRPr="009B6C19">
        <w:t>1.</w:t>
      </w:r>
      <w:r w:rsidRPr="009B6C19">
        <w:tab/>
        <w:t xml:space="preserve">Do </w:t>
      </w:r>
      <w:proofErr w:type="spellStart"/>
      <w:r w:rsidRPr="009B6C19">
        <w:t>consultees</w:t>
      </w:r>
      <w:proofErr w:type="spellEnd"/>
      <w:r w:rsidRPr="009B6C19">
        <w:t xml:space="preserve"> know of information or statistical data or have comments on any actual or potential economic impacts of either the current law relating to penalty clauses or any proposed reform of that law? We would especially value information about why and how penalty clauses are used, the effects of their deployment, and their impact on small and medium-sized enterprises.</w:t>
      </w:r>
    </w:p>
    <w:p w:rsidR="009B6C19" w:rsidRPr="009B6C19" w:rsidRDefault="009B6C19" w:rsidP="009B6C19">
      <w:pPr>
        <w:ind w:left="720" w:hanging="720"/>
        <w:jc w:val="right"/>
      </w:pPr>
      <w:r w:rsidRPr="009B6C19">
        <w:t xml:space="preserve"> </w:t>
      </w:r>
      <w:r w:rsidRPr="009B6C19">
        <w:t>(Paragraph 1.16)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rPr>
          <w:rFonts w:cs="Arial"/>
        </w:rPr>
      </w:pPr>
    </w:p>
    <w:p w:rsidR="009B6C19" w:rsidRPr="009B6C19" w:rsidRDefault="009B6C19" w:rsidP="009B6C19">
      <w:pPr>
        <w:ind w:left="720" w:hanging="720"/>
      </w:pPr>
      <w:r w:rsidRPr="009B6C19">
        <w:t>2.</w:t>
      </w:r>
      <w:r w:rsidRPr="009B6C19">
        <w:tab/>
        <w:t xml:space="preserve">Should the decision in </w:t>
      </w:r>
      <w:r w:rsidRPr="009B6C19">
        <w:rPr>
          <w:i/>
        </w:rPr>
        <w:t xml:space="preserve">Cavendish Square Holding BV v </w:t>
      </w:r>
      <w:proofErr w:type="spellStart"/>
      <w:r w:rsidRPr="009B6C19">
        <w:rPr>
          <w:i/>
        </w:rPr>
        <w:t>Talal</w:t>
      </w:r>
      <w:proofErr w:type="spellEnd"/>
      <w:r w:rsidRPr="009B6C19">
        <w:rPr>
          <w:i/>
        </w:rPr>
        <w:t xml:space="preserve"> El </w:t>
      </w:r>
      <w:proofErr w:type="spellStart"/>
      <w:r w:rsidRPr="009B6C19">
        <w:rPr>
          <w:i/>
        </w:rPr>
        <w:t>Makdessi</w:t>
      </w:r>
      <w:proofErr w:type="spellEnd"/>
      <w:r w:rsidRPr="009B6C19">
        <w:t xml:space="preserve"> and </w:t>
      </w:r>
      <w:proofErr w:type="spellStart"/>
      <w:r w:rsidRPr="009B6C19">
        <w:rPr>
          <w:i/>
        </w:rPr>
        <w:t>ParkingEye</w:t>
      </w:r>
      <w:proofErr w:type="spellEnd"/>
      <w:r w:rsidRPr="009B6C19">
        <w:rPr>
          <w:i/>
        </w:rPr>
        <w:t xml:space="preserve"> Limited v Beavis</w:t>
      </w:r>
      <w:r w:rsidRPr="009B6C19">
        <w:t xml:space="preserve"> be left to ‘bed in’, with the further development of the law and its application being kept under review, but no specific law reform being recommended at this point? </w:t>
      </w:r>
    </w:p>
    <w:p w:rsidR="001721D7" w:rsidRPr="009B6C19" w:rsidRDefault="009B6C19" w:rsidP="009B6C19">
      <w:pPr>
        <w:ind w:left="720" w:hanging="720"/>
        <w:jc w:val="right"/>
        <w:rPr>
          <w:b/>
        </w:rPr>
      </w:pPr>
      <w:r w:rsidRPr="009B6C19">
        <w:t xml:space="preserve">(Paragraph 4.16)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9B6C19" w:rsidRPr="009B6C19" w:rsidRDefault="009B6C19" w:rsidP="009B6C19">
      <w:pPr>
        <w:ind w:left="720" w:hanging="720"/>
      </w:pPr>
      <w:r w:rsidRPr="009B6C19">
        <w:t>3.</w:t>
      </w:r>
      <w:r w:rsidRPr="009B6C19">
        <w:tab/>
        <w:t>Should the common law on penalties be abolished (</w:t>
      </w:r>
      <w:proofErr w:type="spellStart"/>
      <w:r w:rsidRPr="009B6C19">
        <w:t>i</w:t>
      </w:r>
      <w:proofErr w:type="spellEnd"/>
      <w:r w:rsidRPr="009B6C19">
        <w:t>) outright; or (ii) in its application to contracts between parties all acting in the course of business; or (iii) in its application to consumer contracts?</w:t>
      </w:r>
    </w:p>
    <w:p w:rsidR="009B6C19" w:rsidRPr="009B6C19" w:rsidRDefault="009B6C19" w:rsidP="009B6C19">
      <w:pPr>
        <w:ind w:left="720" w:hanging="720"/>
        <w:jc w:val="right"/>
        <w:rPr>
          <w:b/>
        </w:rPr>
      </w:pPr>
      <w:r w:rsidRPr="009B6C19">
        <w:t>(Paragraph 4.24)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9B6C19" w:rsidRPr="009B6C19" w:rsidRDefault="009B6C19" w:rsidP="009B6C19">
      <w:pPr>
        <w:ind w:left="720" w:hanging="720"/>
      </w:pPr>
      <w:r w:rsidRPr="009B6C19">
        <w:t>4.</w:t>
      </w:r>
      <w:r w:rsidRPr="009B6C19">
        <w:tab/>
        <w:t>Should it be provided that the common law rule against penalties is abolished, to be replaced by a regime directed at regulating specified types of contract terms if they have excessively penal effects?</w:t>
      </w:r>
    </w:p>
    <w:p w:rsidR="009B6C19" w:rsidRDefault="009B6C19" w:rsidP="009B6C19">
      <w:pPr>
        <w:ind w:left="720" w:hanging="720"/>
        <w:jc w:val="right"/>
      </w:pPr>
      <w:r w:rsidRPr="009B6C19">
        <w:t>(Paragraph 4.36)</w:t>
      </w:r>
    </w:p>
    <w:p w:rsidR="00203465" w:rsidRPr="009B6C19" w:rsidRDefault="00203465" w:rsidP="009B6C19">
      <w:pPr>
        <w:ind w:left="720" w:hanging="72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4</w:t>
            </w:r>
          </w:p>
          <w:p w:rsidR="001721D7" w:rsidRPr="001721D7" w:rsidRDefault="001721D7">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rPr>
          <w:rFonts w:cs="Arial"/>
          <w:b/>
        </w:rPr>
      </w:pPr>
    </w:p>
    <w:p w:rsidR="009B6C19" w:rsidRPr="009B6C19" w:rsidRDefault="009B6C19" w:rsidP="009B6C19">
      <w:pPr>
        <w:ind w:left="720" w:hanging="720"/>
      </w:pPr>
      <w:r w:rsidRPr="009B6C19">
        <w:t>5.</w:t>
      </w:r>
      <w:r w:rsidRPr="009B6C19">
        <w:tab/>
        <w:t xml:space="preserve">Should a term of a contract be regarded as potentially subject to regulation for </w:t>
      </w:r>
      <w:proofErr w:type="spellStart"/>
      <w:r w:rsidRPr="009B6C19">
        <w:t>penality</w:t>
      </w:r>
      <w:proofErr w:type="spellEnd"/>
      <w:r w:rsidRPr="009B6C19">
        <w:t xml:space="preserve"> only if it becomes operational upon a breach of contract by the party to whom the penalty would be applied? </w:t>
      </w:r>
    </w:p>
    <w:p w:rsidR="009B6C19" w:rsidRPr="009B6C19" w:rsidRDefault="009B6C19" w:rsidP="009B6C19">
      <w:pPr>
        <w:ind w:left="720" w:hanging="720"/>
        <w:jc w:val="right"/>
      </w:pPr>
      <w:r w:rsidRPr="009B6C19">
        <w:t>(Paragraph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9B6C19" w:rsidRPr="009B6C19" w:rsidRDefault="009B6C19" w:rsidP="009B6C19">
      <w:pPr>
        <w:ind w:left="720" w:hanging="720"/>
      </w:pPr>
      <w:r w:rsidRPr="009B6C19">
        <w:t>6.</w:t>
      </w:r>
      <w:r w:rsidRPr="009B6C19">
        <w:tab/>
        <w:t xml:space="preserve">Or should the scope of the concept be extended to cover also terms </w:t>
      </w:r>
    </w:p>
    <w:p w:rsidR="009B6C19" w:rsidRPr="009B6C19" w:rsidRDefault="009B6C19" w:rsidP="009B6C19">
      <w:pPr>
        <w:ind w:left="1440" w:hanging="720"/>
      </w:pPr>
      <w:r w:rsidRPr="009B6C19">
        <w:tab/>
        <w:t xml:space="preserve">(a) providing for early termination of the contract and/or </w:t>
      </w:r>
    </w:p>
    <w:p w:rsidR="009B6C19" w:rsidRPr="009B6C19" w:rsidRDefault="009B6C19" w:rsidP="009B6C19">
      <w:pPr>
        <w:ind w:left="1440" w:hanging="720"/>
      </w:pPr>
      <w:r w:rsidRPr="009B6C19">
        <w:tab/>
        <w:t xml:space="preserve">(b) giving a party options between different ways of performing its obligations under the contract but the choice of one has relatively adverse consequences for the party compared to the other? </w:t>
      </w:r>
    </w:p>
    <w:p w:rsidR="009B6C19" w:rsidRPr="009B6C19" w:rsidRDefault="009B6C19" w:rsidP="009B6C19">
      <w:pPr>
        <w:ind w:left="720" w:hanging="720"/>
        <w:jc w:val="right"/>
        <w:rPr>
          <w:b/>
        </w:rPr>
      </w:pPr>
      <w:r w:rsidRPr="009B6C19">
        <w:t>(Paragraph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rPr>
          <w:rFonts w:cs="Arial"/>
        </w:rPr>
      </w:pPr>
    </w:p>
    <w:p w:rsidR="009B6C19" w:rsidRPr="009B6C19" w:rsidRDefault="009B6C19" w:rsidP="009B6C19">
      <w:pPr>
        <w:ind w:left="720" w:hanging="720"/>
      </w:pPr>
      <w:r w:rsidRPr="009B6C19">
        <w:t>7.</w:t>
      </w:r>
      <w:r w:rsidRPr="009B6C19">
        <w:tab/>
        <w:t xml:space="preserve">In the light of the proposed express provision making contractual penalties generally enforceable, do </w:t>
      </w:r>
      <w:proofErr w:type="spellStart"/>
      <w:r w:rsidRPr="009B6C19">
        <w:t>consultees</w:t>
      </w:r>
      <w:proofErr w:type="spellEnd"/>
      <w:r w:rsidRPr="009B6C19">
        <w:t xml:space="preserve"> agree that judicial control over contractual penalties that are excessively penal in their effects should be possible whatever form the penalty takes (e.g. a payment, a forfeiture, a transfer of property, a withholding of performance otherwise due)? Please explain any disagreement, including that relating to any particular kind of clause. </w:t>
      </w:r>
    </w:p>
    <w:p w:rsidR="009B6C19" w:rsidRPr="009B6C19" w:rsidRDefault="009B6C19" w:rsidP="009B6C19">
      <w:pPr>
        <w:ind w:left="720" w:hanging="720"/>
        <w:jc w:val="right"/>
        <w:rPr>
          <w:b/>
        </w:rPr>
      </w:pPr>
      <w:r w:rsidRPr="009B6C19">
        <w:t>(Paragraph 5.20)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9B6C19" w:rsidRPr="009B6C19" w:rsidRDefault="009B6C19" w:rsidP="009B6C19">
      <w:pPr>
        <w:ind w:left="720" w:hanging="720"/>
      </w:pPr>
      <w:r w:rsidRPr="009B6C19">
        <w:t>8.</w:t>
      </w:r>
      <w:r w:rsidRPr="009B6C19">
        <w:tab/>
        <w:t xml:space="preserve">Is it un-necessary to empower the court to consider substance rather than form when deciding whether a clause is within the scope of the new rule against ‘excessive </w:t>
      </w:r>
      <w:proofErr w:type="spellStart"/>
      <w:r w:rsidRPr="009B6C19">
        <w:t>penality</w:t>
      </w:r>
      <w:proofErr w:type="spellEnd"/>
      <w:r w:rsidRPr="009B6C19">
        <w:t xml:space="preserve">’?  </w:t>
      </w:r>
    </w:p>
    <w:p w:rsidR="009B6C19" w:rsidRPr="009B6C19" w:rsidRDefault="009B6C19" w:rsidP="009B6C19">
      <w:pPr>
        <w:ind w:left="720" w:hanging="720"/>
        <w:jc w:val="right"/>
        <w:rPr>
          <w:b/>
        </w:rPr>
      </w:pPr>
      <w:r w:rsidRPr="009B6C19">
        <w:t>(Paragraph 5.20)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lastRenderedPageBreak/>
              <w:t xml:space="preserve">Comments on </w:t>
            </w:r>
            <w:r w:rsidR="009B6C19">
              <w:rPr>
                <w:rFonts w:cs="Arial"/>
                <w:b/>
              </w:rPr>
              <w:t xml:space="preserve">Question </w:t>
            </w:r>
            <w:r w:rsidRPr="001721D7">
              <w:rPr>
                <w:rFonts w:cs="Arial"/>
                <w:b/>
              </w:rPr>
              <w:t>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rPr>
          <w:rFonts w:cs="Arial"/>
        </w:rPr>
      </w:pPr>
    </w:p>
    <w:p w:rsidR="009B6C19" w:rsidRPr="009B6C19" w:rsidRDefault="009B6C19" w:rsidP="009B6C19">
      <w:pPr>
        <w:ind w:left="720" w:hanging="720"/>
      </w:pPr>
      <w:r w:rsidRPr="009B6C19">
        <w:t>9.</w:t>
      </w:r>
      <w:r w:rsidRPr="009B6C19">
        <w:tab/>
        <w:t xml:space="preserve">Do </w:t>
      </w:r>
      <w:proofErr w:type="spellStart"/>
      <w:r w:rsidRPr="009B6C19">
        <w:t>consultees</w:t>
      </w:r>
      <w:proofErr w:type="spellEnd"/>
      <w:r w:rsidRPr="009B6C19">
        <w:t xml:space="preserve"> also agree that there should be provision exempting from judicial control penalties which are specifically provided for in other enactments or rules of law?</w:t>
      </w:r>
    </w:p>
    <w:p w:rsidR="009B6C19" w:rsidRPr="009B6C19" w:rsidRDefault="009B6C19" w:rsidP="009B6C19">
      <w:pPr>
        <w:ind w:left="720" w:hanging="720"/>
        <w:jc w:val="right"/>
        <w:rPr>
          <w:b/>
        </w:rPr>
      </w:pPr>
      <w:r w:rsidRPr="009B6C19">
        <w:t>(Paragraph 5.20)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Pr="001721D7" w:rsidRDefault="001721D7">
      <w:pPr>
        <w:rPr>
          <w:rFonts w:cs="Arial"/>
        </w:rPr>
      </w:pPr>
    </w:p>
    <w:p w:rsidR="009B6C19" w:rsidRPr="009B6C19" w:rsidRDefault="009B6C19" w:rsidP="009B6C19">
      <w:pPr>
        <w:ind w:left="720" w:hanging="720"/>
        <w:rPr>
          <w:lang w:val="en"/>
        </w:rPr>
      </w:pPr>
      <w:r w:rsidRPr="009B6C19">
        <w:rPr>
          <w:lang w:val="en"/>
        </w:rPr>
        <w:t>10.</w:t>
      </w:r>
      <w:r w:rsidRPr="009B6C19">
        <w:rPr>
          <w:lang w:val="en"/>
        </w:rPr>
        <w:tab/>
        <w:t xml:space="preserve">Do </w:t>
      </w:r>
      <w:proofErr w:type="spellStart"/>
      <w:r w:rsidRPr="009B6C19">
        <w:rPr>
          <w:lang w:val="en"/>
        </w:rPr>
        <w:t>consultees</w:t>
      </w:r>
      <w:proofErr w:type="spellEnd"/>
      <w:r w:rsidRPr="009B6C19">
        <w:rPr>
          <w:lang w:val="en"/>
        </w:rPr>
        <w:t xml:space="preserve"> agree that conventional irritancy clauses should be  excluded from the controls against ‘excessive </w:t>
      </w:r>
      <w:proofErr w:type="spellStart"/>
      <w:r w:rsidRPr="009B6C19">
        <w:rPr>
          <w:lang w:val="en"/>
        </w:rPr>
        <w:t>penality</w:t>
      </w:r>
      <w:proofErr w:type="spellEnd"/>
      <w:r w:rsidRPr="009B6C19">
        <w:rPr>
          <w:lang w:val="en"/>
        </w:rPr>
        <w:t xml:space="preserve">’? </w:t>
      </w:r>
    </w:p>
    <w:p w:rsidR="009B6C19" w:rsidRPr="009B6C19" w:rsidRDefault="009B6C19" w:rsidP="009B6C19">
      <w:pPr>
        <w:ind w:left="720" w:hanging="720"/>
        <w:jc w:val="right"/>
        <w:rPr>
          <w:b/>
        </w:rPr>
      </w:pPr>
      <w:r w:rsidRPr="009B6C19">
        <w:rPr>
          <w:lang w:val="en"/>
        </w:rPr>
        <w:t>(Paragraph 5.24)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9B6C19">
              <w:rPr>
                <w:rFonts w:cs="Arial"/>
                <w:b/>
              </w:rPr>
              <w:t xml:space="preserve">Question </w:t>
            </w:r>
            <w:r w:rsidRPr="001721D7">
              <w:rPr>
                <w:rFonts w:cs="Arial"/>
                <w:b/>
              </w:rPr>
              <w:t>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A058CB" w:rsidRDefault="00A058CB" w:rsidP="00A058CB">
      <w:pPr>
        <w:rPr>
          <w:rFonts w:cs="Arial"/>
        </w:rPr>
      </w:pPr>
    </w:p>
    <w:p w:rsidR="00A058CB" w:rsidRPr="00A058CB" w:rsidRDefault="00A058CB" w:rsidP="00A058CB">
      <w:pPr>
        <w:ind w:left="720" w:hanging="720"/>
      </w:pPr>
      <w:r w:rsidRPr="00A058CB">
        <w:t>11.</w:t>
      </w:r>
      <w:r w:rsidRPr="00A058CB">
        <w:tab/>
        <w:t xml:space="preserve">Should it cease to be possible for a court to declare a clause unenforceable for excessive </w:t>
      </w:r>
      <w:proofErr w:type="spellStart"/>
      <w:r w:rsidRPr="00A058CB">
        <w:t>penality</w:t>
      </w:r>
      <w:proofErr w:type="spellEnd"/>
      <w:r w:rsidRPr="00A058CB">
        <w:t xml:space="preserve"> (apart from consumer cases)?</w:t>
      </w:r>
    </w:p>
    <w:p w:rsidR="00A058CB" w:rsidRPr="00A058CB" w:rsidRDefault="00A058CB" w:rsidP="00A058CB">
      <w:pPr>
        <w:ind w:left="720" w:hanging="720"/>
        <w:jc w:val="right"/>
        <w:rPr>
          <w:b/>
        </w:rPr>
      </w:pPr>
      <w:r w:rsidRPr="00A058CB">
        <w:t>(Paragraph 5.32)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1</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A058CB" w:rsidRPr="00A058CB" w:rsidRDefault="00A058CB" w:rsidP="00A058CB">
      <w:pPr>
        <w:ind w:left="720" w:hanging="720"/>
      </w:pPr>
      <w:r w:rsidRPr="00A058CB">
        <w:t>12.</w:t>
      </w:r>
      <w:r w:rsidRPr="00A058CB">
        <w:tab/>
        <w:t xml:space="preserve">Should the only sanction for the excessive </w:t>
      </w:r>
      <w:proofErr w:type="spellStart"/>
      <w:r w:rsidRPr="00A058CB">
        <w:t>penality</w:t>
      </w:r>
      <w:proofErr w:type="spellEnd"/>
      <w:r w:rsidRPr="00A058CB">
        <w:t xml:space="preserve"> of a clause (apart from consumer cases) be judicial modification?</w:t>
      </w:r>
    </w:p>
    <w:p w:rsidR="00A058CB" w:rsidRPr="00A058CB" w:rsidRDefault="00A058CB" w:rsidP="00A058CB">
      <w:pPr>
        <w:ind w:left="720" w:hanging="720"/>
        <w:jc w:val="right"/>
        <w:rPr>
          <w:b/>
        </w:rPr>
      </w:pPr>
      <w:r w:rsidRPr="00A058CB">
        <w:t>(Paragraph 5.32)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2</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tabs>
          <w:tab w:val="clear" w:pos="2160"/>
        </w:tabs>
        <w:rPr>
          <w:rFonts w:cs="Arial"/>
        </w:rPr>
      </w:pPr>
    </w:p>
    <w:p w:rsidR="00A058CB" w:rsidRPr="00A058CB" w:rsidRDefault="00A058CB" w:rsidP="00A058CB">
      <w:pPr>
        <w:ind w:left="720" w:hanging="720"/>
      </w:pPr>
      <w:r w:rsidRPr="00A058CB">
        <w:lastRenderedPageBreak/>
        <w:t>13.</w:t>
      </w:r>
      <w:r w:rsidRPr="00A058CB">
        <w:tab/>
        <w:t xml:space="preserve">Would a useful guideline in determining excessive </w:t>
      </w:r>
      <w:proofErr w:type="spellStart"/>
      <w:r w:rsidRPr="00A058CB">
        <w:t>penality</w:t>
      </w:r>
      <w:proofErr w:type="spellEnd"/>
      <w:r w:rsidRPr="00A058CB">
        <w:t xml:space="preserve"> be a comparison between the stipulated penalty and the actual harm or hurt to the creditor’s legitimate interests, considered in the light of what the parties could reasonably assess on these matters at the time of contracting and all other relevant circumstances?</w:t>
      </w:r>
    </w:p>
    <w:p w:rsidR="00A058CB" w:rsidRPr="00A058CB" w:rsidRDefault="00A058CB" w:rsidP="00A058CB">
      <w:pPr>
        <w:ind w:left="720" w:hanging="720"/>
        <w:jc w:val="right"/>
        <w:rPr>
          <w:b/>
        </w:rPr>
      </w:pPr>
      <w:r w:rsidRPr="00A058CB">
        <w:t>(Paragraph 5.53)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3</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pStyle w:val="Heading1"/>
        <w:numPr>
          <w:ilvl w:val="0"/>
          <w:numId w:val="0"/>
        </w:numPr>
        <w:rPr>
          <w:rFonts w:cs="Arial"/>
          <w:b/>
        </w:rPr>
      </w:pPr>
    </w:p>
    <w:p w:rsidR="00A058CB" w:rsidRPr="00A058CB" w:rsidRDefault="00A058CB" w:rsidP="00A058CB">
      <w:pPr>
        <w:ind w:left="720" w:hanging="720"/>
        <w:jc w:val="left"/>
      </w:pPr>
      <w:r w:rsidRPr="00A058CB">
        <w:t>14.</w:t>
      </w:r>
      <w:r w:rsidRPr="00A058CB">
        <w:tab/>
        <w:t>Should this guideline seek to spell out in a non-exhaustive way what may be a legitimate interest of the creditor in the penalty clause? This could include –</w:t>
      </w:r>
    </w:p>
    <w:p w:rsidR="00A058CB" w:rsidRPr="00A058CB" w:rsidRDefault="00A058CB" w:rsidP="00A058CB">
      <w:pPr>
        <w:ind w:left="2160" w:hanging="720"/>
        <w:jc w:val="left"/>
      </w:pPr>
      <w:r w:rsidRPr="00A058CB">
        <w:t xml:space="preserve">(a) actual performance of its obligations by the debtor, </w:t>
      </w:r>
    </w:p>
    <w:p w:rsidR="00A058CB" w:rsidRPr="00A058CB" w:rsidRDefault="00A058CB" w:rsidP="00A058CB">
      <w:pPr>
        <w:ind w:left="2160" w:hanging="720"/>
        <w:jc w:val="left"/>
      </w:pPr>
      <w:r w:rsidRPr="00A058CB">
        <w:t xml:space="preserve">(b) encouragement of prompt or early performance by the debtor, </w:t>
      </w:r>
    </w:p>
    <w:p w:rsidR="00A058CB" w:rsidRPr="00A058CB" w:rsidRDefault="00A058CB" w:rsidP="00A058CB">
      <w:pPr>
        <w:ind w:left="2160" w:hanging="720"/>
        <w:jc w:val="left"/>
      </w:pPr>
      <w:r w:rsidRPr="00A058CB">
        <w:t xml:space="preserve">(c) avoidance of litigation, and </w:t>
      </w:r>
    </w:p>
    <w:p w:rsidR="00A058CB" w:rsidRPr="00A058CB" w:rsidRDefault="00A058CB" w:rsidP="00A058CB">
      <w:pPr>
        <w:ind w:left="2160" w:hanging="720"/>
        <w:jc w:val="left"/>
      </w:pPr>
      <w:r w:rsidRPr="00A058CB">
        <w:t xml:space="preserve">(d) other commercial interests of the creditor. </w:t>
      </w:r>
    </w:p>
    <w:p w:rsidR="00A058CB" w:rsidRPr="00A058CB" w:rsidRDefault="00A058CB" w:rsidP="00A058CB">
      <w:pPr>
        <w:ind w:left="720" w:hanging="720"/>
        <w:jc w:val="right"/>
        <w:rPr>
          <w:b/>
        </w:rPr>
      </w:pPr>
      <w:r w:rsidRPr="00A058CB">
        <w:t>(Paragraph 5.53)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4</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b/>
        </w:rPr>
      </w:pPr>
    </w:p>
    <w:p w:rsidR="00A058CB" w:rsidRPr="00A058CB" w:rsidRDefault="00A058CB" w:rsidP="00A058CB">
      <w:pPr>
        <w:ind w:left="720" w:hanging="720"/>
      </w:pPr>
      <w:r w:rsidRPr="00A058CB">
        <w:t>15.</w:t>
      </w:r>
      <w:r w:rsidRPr="00A058CB">
        <w:tab/>
        <w:t>Views are invited on what more, if any, legitimate interests might be mentioned in such a list, such as –</w:t>
      </w:r>
    </w:p>
    <w:p w:rsidR="00A058CB" w:rsidRPr="00A058CB" w:rsidRDefault="00A058CB" w:rsidP="00A058CB">
      <w:pPr>
        <w:ind w:left="2160" w:hanging="720"/>
      </w:pPr>
      <w:r w:rsidRPr="00A058CB">
        <w:t xml:space="preserve">(1) </w:t>
      </w:r>
      <w:r w:rsidRPr="00A058CB">
        <w:tab/>
        <w:t xml:space="preserve">the protection of third parties who will suffer loss through breach or other performance-related event but who are not party to the contract and have no other means of recovering their losses; </w:t>
      </w:r>
    </w:p>
    <w:p w:rsidR="00A058CB" w:rsidRPr="00A058CB" w:rsidRDefault="00A058CB" w:rsidP="00A058CB">
      <w:pPr>
        <w:ind w:left="2160" w:hanging="720"/>
      </w:pPr>
      <w:r w:rsidRPr="00A058CB">
        <w:t xml:space="preserve">(2) </w:t>
      </w:r>
      <w:r w:rsidRPr="00A058CB">
        <w:tab/>
        <w:t>the promotion of wider societal goals favoured by the creditor in the obligation.</w:t>
      </w:r>
    </w:p>
    <w:p w:rsidR="00A058CB" w:rsidRPr="00A058CB" w:rsidRDefault="00A058CB" w:rsidP="00A058CB">
      <w:pPr>
        <w:ind w:left="720" w:hanging="720"/>
        <w:jc w:val="right"/>
      </w:pPr>
      <w:r w:rsidRPr="00A058CB">
        <w:t>(Paragraph 5.53)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5</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Default="00A058CB" w:rsidP="00A058CB">
      <w:pPr>
        <w:tabs>
          <w:tab w:val="clear" w:pos="720"/>
          <w:tab w:val="clear" w:pos="1440"/>
        </w:tabs>
        <w:jc w:val="left"/>
        <w:rPr>
          <w:rFonts w:cs="Arial"/>
        </w:rPr>
      </w:pPr>
    </w:p>
    <w:p w:rsidR="00A058CB" w:rsidRPr="001721D7" w:rsidRDefault="00A058CB" w:rsidP="00A058CB">
      <w:pPr>
        <w:tabs>
          <w:tab w:val="clear" w:pos="720"/>
          <w:tab w:val="clear" w:pos="1440"/>
        </w:tabs>
        <w:jc w:val="left"/>
        <w:rPr>
          <w:rFonts w:cs="Arial"/>
        </w:rPr>
      </w:pPr>
    </w:p>
    <w:p w:rsidR="00A058CB" w:rsidRPr="00A058CB" w:rsidRDefault="00A058CB" w:rsidP="00A058CB">
      <w:pPr>
        <w:ind w:left="720" w:hanging="720"/>
      </w:pPr>
      <w:r w:rsidRPr="00A058CB">
        <w:lastRenderedPageBreak/>
        <w:t>16.</w:t>
      </w:r>
      <w:r w:rsidRPr="00A058CB">
        <w:tab/>
        <w:t xml:space="preserve">Should contracting parties be encouraged to state in their contracts the interests which they seek to protect by their penalty clauses? Are there any interests apart from the punishment of the penalty-debtor which should be expressly excluded as illegitimate?  </w:t>
      </w:r>
    </w:p>
    <w:p w:rsidR="00A058CB" w:rsidRPr="00A058CB" w:rsidRDefault="00A058CB" w:rsidP="00A058CB">
      <w:pPr>
        <w:ind w:left="720" w:hanging="720"/>
        <w:jc w:val="right"/>
        <w:rPr>
          <w:b/>
        </w:rPr>
      </w:pPr>
      <w:r w:rsidRPr="00A058CB">
        <w:t>(Paragraph 5.53)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6</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A058CB" w:rsidRPr="00A058CB" w:rsidRDefault="00A058CB" w:rsidP="00A058CB">
      <w:pPr>
        <w:ind w:left="720" w:hanging="720"/>
      </w:pPr>
      <w:r w:rsidRPr="00A058CB">
        <w:t>17.</w:t>
      </w:r>
      <w:r w:rsidRPr="00A058CB">
        <w:tab/>
        <w:t xml:space="preserve">Would further useful guidelines be – </w:t>
      </w:r>
    </w:p>
    <w:p w:rsidR="00A058CB" w:rsidRPr="00A058CB" w:rsidRDefault="00A058CB" w:rsidP="00A058CB">
      <w:pPr>
        <w:ind w:left="2160" w:hanging="720"/>
      </w:pPr>
      <w:r w:rsidRPr="00A058CB">
        <w:t xml:space="preserve">(a) </w:t>
      </w:r>
      <w:r w:rsidRPr="00A058CB">
        <w:tab/>
        <w:t xml:space="preserve">whether the penalty clause had been negotiated between the parties at arms’ length; </w:t>
      </w:r>
    </w:p>
    <w:p w:rsidR="00A058CB" w:rsidRPr="00A058CB" w:rsidRDefault="00A058CB" w:rsidP="00A058CB">
      <w:pPr>
        <w:ind w:left="2160" w:hanging="720"/>
      </w:pPr>
      <w:r w:rsidRPr="00A058CB">
        <w:t>(b)</w:t>
      </w:r>
      <w:r w:rsidRPr="00A058CB">
        <w:tab/>
        <w:t xml:space="preserve">the availability of independent legal advice to the debtor under the penalty clause at the time of contracting; </w:t>
      </w:r>
    </w:p>
    <w:p w:rsidR="00A058CB" w:rsidRPr="00A058CB" w:rsidRDefault="00A058CB" w:rsidP="00A058CB">
      <w:pPr>
        <w:ind w:left="2160" w:hanging="720"/>
      </w:pPr>
      <w:r w:rsidRPr="00A058CB">
        <w:t xml:space="preserve">(c) </w:t>
      </w:r>
      <w:r w:rsidRPr="00A058CB">
        <w:tab/>
        <w:t xml:space="preserve">where the penalty clause was un-negotiated, the steps taken by the creditor to bring the penalty clause to the debtor’s attention at the time of contracting, or the extent to which the debtor was aware of the existence and effect of the clause; </w:t>
      </w:r>
    </w:p>
    <w:p w:rsidR="00A058CB" w:rsidRPr="00A058CB" w:rsidRDefault="00A058CB" w:rsidP="00A058CB">
      <w:pPr>
        <w:ind w:left="2160" w:hanging="720"/>
      </w:pPr>
      <w:r w:rsidRPr="00A058CB">
        <w:t xml:space="preserve">(d) </w:t>
      </w:r>
      <w:r w:rsidRPr="00A058CB">
        <w:tab/>
        <w:t>to take account of the actual or anticipated resources of the debtor as known to or reasonably anticipated by the creditor at the time of contracting?</w:t>
      </w:r>
    </w:p>
    <w:p w:rsidR="00A058CB" w:rsidRPr="00A058CB" w:rsidRDefault="00A058CB" w:rsidP="00A058CB">
      <w:pPr>
        <w:ind w:left="720" w:hanging="720"/>
        <w:jc w:val="right"/>
      </w:pPr>
      <w:r w:rsidRPr="00A058CB">
        <w:t>(Paragraph 5.58)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7</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pStyle w:val="BodyText"/>
        <w:tabs>
          <w:tab w:val="left" w:pos="1440"/>
        </w:tabs>
        <w:spacing w:after="240" w:line="280" w:lineRule="exact"/>
        <w:jc w:val="both"/>
        <w:rPr>
          <w:rFonts w:cs="Arial"/>
        </w:rPr>
      </w:pPr>
    </w:p>
    <w:p w:rsidR="00A058CB" w:rsidRPr="00A058CB" w:rsidRDefault="00A058CB" w:rsidP="00A058CB">
      <w:pPr>
        <w:ind w:left="720" w:hanging="720"/>
      </w:pPr>
      <w:r w:rsidRPr="00A058CB">
        <w:t>18.</w:t>
      </w:r>
      <w:r w:rsidRPr="00A058CB">
        <w:tab/>
        <w:t xml:space="preserve">Would another useful guideline be that in determining excessive </w:t>
      </w:r>
      <w:proofErr w:type="spellStart"/>
      <w:r w:rsidRPr="00A058CB">
        <w:t>penality</w:t>
      </w:r>
      <w:proofErr w:type="spellEnd"/>
      <w:r w:rsidRPr="00A058CB">
        <w:t xml:space="preserve"> a court should have regard to custom and practice in the relevant market? </w:t>
      </w:r>
    </w:p>
    <w:p w:rsidR="00A058CB" w:rsidRPr="00A058CB" w:rsidRDefault="00A058CB" w:rsidP="00A058CB">
      <w:pPr>
        <w:ind w:left="720" w:hanging="720"/>
        <w:jc w:val="right"/>
        <w:rPr>
          <w:b/>
        </w:rPr>
      </w:pPr>
      <w:r w:rsidRPr="00A058CB">
        <w:t>(Paragraph 5.60)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8</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Default="00A058CB" w:rsidP="00A058CB">
      <w:pPr>
        <w:rPr>
          <w:rFonts w:cs="Arial"/>
        </w:rPr>
      </w:pPr>
    </w:p>
    <w:p w:rsidR="00A058CB" w:rsidRPr="001721D7" w:rsidRDefault="00A058CB" w:rsidP="00A058CB">
      <w:pPr>
        <w:rPr>
          <w:rFonts w:cs="Arial"/>
        </w:rPr>
      </w:pPr>
    </w:p>
    <w:p w:rsidR="00A058CB" w:rsidRPr="00A058CB" w:rsidRDefault="00A058CB" w:rsidP="00A058CB">
      <w:pPr>
        <w:ind w:left="720" w:hanging="720"/>
      </w:pPr>
      <w:r w:rsidRPr="00A058CB">
        <w:lastRenderedPageBreak/>
        <w:t>19.</w:t>
      </w:r>
      <w:r w:rsidRPr="00A058CB">
        <w:tab/>
        <w:t>Might there be a guideline that in cases where the penalty clause becomes operational on a breach of contract a court could have regard to whether or not the breach was trivial?</w:t>
      </w:r>
    </w:p>
    <w:p w:rsidR="00A058CB" w:rsidRPr="00A058CB" w:rsidRDefault="00A058CB" w:rsidP="00A058CB">
      <w:pPr>
        <w:ind w:left="720" w:hanging="720"/>
        <w:jc w:val="right"/>
        <w:rPr>
          <w:b/>
        </w:rPr>
      </w:pPr>
      <w:r w:rsidRPr="00A058CB">
        <w:t>(Paragraph 5.61)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1</w:t>
            </w:r>
            <w:r w:rsidRPr="001721D7">
              <w:rPr>
                <w:rFonts w:cs="Arial"/>
                <w:b/>
              </w:rPr>
              <w:t>9</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A058CB" w:rsidRPr="00A058CB" w:rsidRDefault="00A058CB" w:rsidP="00A058CB">
      <w:pPr>
        <w:ind w:left="720" w:hanging="720"/>
      </w:pPr>
      <w:r w:rsidRPr="00A058CB">
        <w:t>20.</w:t>
      </w:r>
      <w:r w:rsidRPr="00A058CB">
        <w:tab/>
        <w:t xml:space="preserve">Views are invited on the most useful word or phrase (if any) with which to characterise the excessive </w:t>
      </w:r>
      <w:proofErr w:type="spellStart"/>
      <w:r w:rsidRPr="00A058CB">
        <w:t>penality</w:t>
      </w:r>
      <w:proofErr w:type="spellEnd"/>
      <w:r w:rsidRPr="00A058CB">
        <w:t xml:space="preserve"> that is to be subject to judicial control (e.g. ’manifestly’ or ’grossly excessive’, ’out of all proportion’, ’extravagant’, ’exorbitant’, ’unconscionable’), bearing in mind (1) that the exercise of judicial control is to be exceptional and not a matter of nice calculation in any particular case; and (2) the possible guidelines on what will constitute excessive </w:t>
      </w:r>
      <w:proofErr w:type="spellStart"/>
      <w:r w:rsidRPr="00A058CB">
        <w:t>penality</w:t>
      </w:r>
      <w:proofErr w:type="spellEnd"/>
      <w:r w:rsidRPr="00A058CB">
        <w:t xml:space="preserve"> set out in questions 13-19 above.</w:t>
      </w:r>
    </w:p>
    <w:p w:rsidR="00A058CB" w:rsidRPr="00A058CB" w:rsidRDefault="00A058CB" w:rsidP="00A058CB">
      <w:pPr>
        <w:ind w:left="720" w:hanging="720"/>
        <w:jc w:val="right"/>
      </w:pPr>
      <w:r w:rsidRPr="00A058CB">
        <w:t>(Paragraph 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0</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A058CB" w:rsidRPr="00A058CB" w:rsidRDefault="00A058CB" w:rsidP="00A058CB">
      <w:pPr>
        <w:ind w:left="720" w:hanging="720"/>
      </w:pPr>
      <w:r w:rsidRPr="00A058CB">
        <w:t>21.</w:t>
      </w:r>
      <w:r w:rsidRPr="00A058CB">
        <w:tab/>
        <w:t>Should the court be empowered to grant any order that seems just in all the circumstances when it modifies an excessively penal clause (or holds it unenforceable if that sanction is retained)?</w:t>
      </w:r>
    </w:p>
    <w:p w:rsidR="00A058CB" w:rsidRPr="00A058CB" w:rsidRDefault="00A058CB" w:rsidP="00A058CB">
      <w:pPr>
        <w:ind w:left="720" w:hanging="720"/>
        <w:jc w:val="right"/>
        <w:rPr>
          <w:b/>
        </w:rPr>
      </w:pPr>
      <w:r w:rsidRPr="00A058CB">
        <w:t>(Paragraph 5.68)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1</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A058CB" w:rsidRPr="00A058CB" w:rsidRDefault="00A058CB" w:rsidP="00A058CB">
      <w:pPr>
        <w:ind w:left="720" w:hanging="720"/>
      </w:pPr>
      <w:r w:rsidRPr="00A058CB">
        <w:t>22.</w:t>
      </w:r>
      <w:r w:rsidRPr="00A058CB">
        <w:tab/>
        <w:t xml:space="preserve">Should the court be encouraged to use the list of factors to be taken into account in determining excessive </w:t>
      </w:r>
      <w:proofErr w:type="spellStart"/>
      <w:r w:rsidRPr="00A058CB">
        <w:t>penality</w:t>
      </w:r>
      <w:proofErr w:type="spellEnd"/>
      <w:r w:rsidRPr="00A058CB">
        <w:t xml:space="preserve"> in making any order modifying the penalty in question? </w:t>
      </w:r>
    </w:p>
    <w:p w:rsidR="00A058CB" w:rsidRPr="00A058CB" w:rsidRDefault="00A058CB" w:rsidP="00A058CB">
      <w:pPr>
        <w:ind w:left="720" w:hanging="720"/>
        <w:jc w:val="right"/>
        <w:rPr>
          <w:b/>
        </w:rPr>
      </w:pPr>
      <w:r w:rsidRPr="00A058CB">
        <w:t>(Paragraph 5.68)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2</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tabs>
          <w:tab w:val="clear" w:pos="2160"/>
        </w:tabs>
        <w:rPr>
          <w:rFonts w:cs="Arial"/>
        </w:rPr>
      </w:pPr>
    </w:p>
    <w:p w:rsidR="00A058CB" w:rsidRPr="00A058CB" w:rsidRDefault="00A058CB" w:rsidP="00A058CB">
      <w:pPr>
        <w:ind w:left="720" w:hanging="720"/>
      </w:pPr>
      <w:r w:rsidRPr="00A058CB">
        <w:lastRenderedPageBreak/>
        <w:t>23.</w:t>
      </w:r>
      <w:r w:rsidRPr="00A058CB">
        <w:tab/>
        <w:t>Should it be more specifically provided that any order for modification of the excessive penalty should do no more than remove its excessive element?</w:t>
      </w:r>
    </w:p>
    <w:p w:rsidR="00A058CB" w:rsidRPr="00A058CB" w:rsidRDefault="00A058CB" w:rsidP="00A058CB">
      <w:pPr>
        <w:ind w:left="720" w:hanging="720"/>
        <w:jc w:val="right"/>
        <w:rPr>
          <w:b/>
        </w:rPr>
      </w:pPr>
      <w:r w:rsidRPr="00A058CB">
        <w:t>(Paragraph 5.68)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3</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pStyle w:val="Heading1"/>
        <w:numPr>
          <w:ilvl w:val="0"/>
          <w:numId w:val="0"/>
        </w:numPr>
        <w:rPr>
          <w:rFonts w:cs="Arial"/>
          <w:b/>
        </w:rPr>
      </w:pPr>
    </w:p>
    <w:p w:rsidR="00A058CB" w:rsidRPr="00A058CB" w:rsidRDefault="00A058CB" w:rsidP="00A058CB">
      <w:pPr>
        <w:ind w:left="720" w:hanging="720"/>
        <w:rPr>
          <w:lang w:eastAsia="en-GB"/>
        </w:rPr>
      </w:pPr>
      <w:r w:rsidRPr="00A058CB">
        <w:rPr>
          <w:lang w:eastAsia="en-GB"/>
        </w:rPr>
        <w:t>24.</w:t>
      </w:r>
      <w:r w:rsidRPr="00A058CB">
        <w:rPr>
          <w:lang w:eastAsia="en-GB"/>
        </w:rPr>
        <w:tab/>
        <w:t xml:space="preserve">If the answer to the preceding question is affirmative, do </w:t>
      </w:r>
      <w:proofErr w:type="spellStart"/>
      <w:r w:rsidRPr="00A058CB">
        <w:rPr>
          <w:lang w:eastAsia="en-GB"/>
        </w:rPr>
        <w:t>consultees</w:t>
      </w:r>
      <w:proofErr w:type="spellEnd"/>
      <w:r w:rsidRPr="00A058CB">
        <w:rPr>
          <w:lang w:eastAsia="en-GB"/>
        </w:rPr>
        <w:t xml:space="preserve"> agree that </w:t>
      </w:r>
      <w:r w:rsidRPr="00A058CB">
        <w:t xml:space="preserve">the words from “in all cases” to “making the debt effectual” in </w:t>
      </w:r>
      <w:r w:rsidRPr="00A058CB">
        <w:rPr>
          <w:lang w:eastAsia="en-GB"/>
        </w:rPr>
        <w:t>section 5 of the Debts Securities (Scotland) Act 1856 should be repealed?</w:t>
      </w:r>
    </w:p>
    <w:p w:rsidR="00A058CB" w:rsidRPr="001721D7" w:rsidRDefault="00A058CB" w:rsidP="00A058CB">
      <w:pPr>
        <w:jc w:val="right"/>
        <w:rPr>
          <w:rFonts w:cs="Arial"/>
        </w:rPr>
      </w:pPr>
      <w:r w:rsidRPr="00A058CB">
        <w:rPr>
          <w:lang w:eastAsia="en-GB"/>
        </w:rPr>
        <w:t>(Paragraph 5.68)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4</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b/>
        </w:rPr>
      </w:pPr>
    </w:p>
    <w:p w:rsidR="00A058CB" w:rsidRPr="00A058CB" w:rsidRDefault="00A058CB" w:rsidP="00A058CB">
      <w:pPr>
        <w:ind w:left="720" w:hanging="720"/>
      </w:pPr>
      <w:r w:rsidRPr="00A058CB">
        <w:t>25.</w:t>
      </w:r>
      <w:r w:rsidRPr="00A058CB">
        <w:tab/>
        <w:t>Should the legislation provide specifically that clauses which provide for liquidated damages, i.e. are based on a genuine pre-estimate of the loss likely to be caused by a breach of contract, cannot be held to be penal, no matter what the later circumstances may be?</w:t>
      </w:r>
    </w:p>
    <w:p w:rsidR="00A058CB" w:rsidRPr="001721D7" w:rsidRDefault="00A058CB" w:rsidP="00A058CB">
      <w:pPr>
        <w:jc w:val="right"/>
        <w:rPr>
          <w:rFonts w:cs="Arial"/>
        </w:rPr>
      </w:pPr>
      <w:r w:rsidRPr="00A058CB">
        <w:t>(Paragraph 5.70)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5</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tabs>
          <w:tab w:val="clear" w:pos="720"/>
          <w:tab w:val="clear" w:pos="1440"/>
        </w:tabs>
        <w:jc w:val="left"/>
        <w:rPr>
          <w:rFonts w:cs="Arial"/>
        </w:rPr>
      </w:pPr>
    </w:p>
    <w:p w:rsidR="00F764CF" w:rsidRPr="00F764CF" w:rsidRDefault="00F764CF" w:rsidP="00F764CF">
      <w:pPr>
        <w:ind w:left="720" w:hanging="720"/>
      </w:pPr>
      <w:r w:rsidRPr="00F764CF">
        <w:t>26.</w:t>
      </w:r>
      <w:r w:rsidRPr="00F764CF">
        <w:tab/>
        <w:t xml:space="preserve">Do </w:t>
      </w:r>
      <w:proofErr w:type="spellStart"/>
      <w:r w:rsidRPr="00F764CF">
        <w:t>consultees</w:t>
      </w:r>
      <w:proofErr w:type="spellEnd"/>
      <w:r w:rsidRPr="00F764CF">
        <w:t xml:space="preserve"> agree that only a party should be able to raise the issue of excessive </w:t>
      </w:r>
      <w:proofErr w:type="spellStart"/>
      <w:r w:rsidRPr="00F764CF">
        <w:t>penality</w:t>
      </w:r>
      <w:proofErr w:type="spellEnd"/>
      <w:r w:rsidRPr="00F764CF">
        <w:t>?</w:t>
      </w:r>
    </w:p>
    <w:p w:rsidR="00A058CB" w:rsidRPr="001721D7" w:rsidRDefault="00F764CF" w:rsidP="00F764CF">
      <w:pPr>
        <w:jc w:val="right"/>
        <w:rPr>
          <w:rFonts w:cs="Arial"/>
        </w:rPr>
      </w:pPr>
      <w:r w:rsidRPr="00F764CF">
        <w:t>(Paragraph 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6</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F764CF" w:rsidRPr="00F764CF" w:rsidRDefault="00F764CF" w:rsidP="00F764CF">
      <w:pPr>
        <w:ind w:left="720" w:hanging="720"/>
      </w:pPr>
      <w:r w:rsidRPr="00F764CF">
        <w:t>27.</w:t>
      </w:r>
      <w:r w:rsidRPr="00F764CF">
        <w:tab/>
        <w:t>Should the court be required to modify a penalty found to be excessive, or should the remedy be at the discretion of the court?</w:t>
      </w:r>
    </w:p>
    <w:p w:rsidR="00A058CB" w:rsidRPr="001721D7" w:rsidRDefault="00F764CF" w:rsidP="00F764CF">
      <w:pPr>
        <w:pStyle w:val="BodyText"/>
        <w:tabs>
          <w:tab w:val="left" w:pos="1440"/>
        </w:tabs>
        <w:spacing w:after="240" w:line="280" w:lineRule="exact"/>
        <w:jc w:val="right"/>
        <w:rPr>
          <w:rFonts w:cs="Arial"/>
        </w:rPr>
      </w:pPr>
      <w:r w:rsidRPr="00F764CF">
        <w:rPr>
          <w:lang w:val="en-GB"/>
        </w:rPr>
        <w:t>(Paragraph 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lastRenderedPageBreak/>
              <w:t xml:space="preserve">Comments on </w:t>
            </w:r>
            <w:r>
              <w:rPr>
                <w:rFonts w:cs="Arial"/>
                <w:b/>
              </w:rPr>
              <w:t>Question 2</w:t>
            </w:r>
            <w:r w:rsidRPr="001721D7">
              <w:rPr>
                <w:rFonts w:cs="Arial"/>
                <w:b/>
              </w:rPr>
              <w:t>7</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pStyle w:val="BodyText"/>
        <w:tabs>
          <w:tab w:val="left" w:pos="1440"/>
        </w:tabs>
        <w:spacing w:after="240" w:line="280" w:lineRule="exact"/>
        <w:jc w:val="both"/>
        <w:rPr>
          <w:rFonts w:cs="Arial"/>
        </w:rPr>
      </w:pPr>
    </w:p>
    <w:p w:rsidR="00F764CF" w:rsidRPr="00F764CF" w:rsidRDefault="00F764CF" w:rsidP="00F764CF">
      <w:pPr>
        <w:ind w:left="720" w:hanging="720"/>
      </w:pPr>
      <w:r w:rsidRPr="00F764CF">
        <w:t>28.</w:t>
      </w:r>
      <w:r w:rsidRPr="00F764CF">
        <w:tab/>
        <w:t xml:space="preserve">Do </w:t>
      </w:r>
      <w:proofErr w:type="spellStart"/>
      <w:r w:rsidRPr="00F764CF">
        <w:t>consultees</w:t>
      </w:r>
      <w:proofErr w:type="spellEnd"/>
      <w:r w:rsidRPr="00F764CF">
        <w:t xml:space="preserve"> agree that the initial onus of showing that a penalty is excessive should lie on the party so contending?</w:t>
      </w:r>
    </w:p>
    <w:p w:rsidR="00F764CF" w:rsidRPr="00F764CF" w:rsidRDefault="00F764CF" w:rsidP="00F764CF">
      <w:pPr>
        <w:ind w:left="720" w:hanging="720"/>
        <w:jc w:val="right"/>
        <w:rPr>
          <w:b/>
        </w:rPr>
      </w:pPr>
      <w:r w:rsidRPr="00F764CF">
        <w:t>(Paragraph 5.77)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8</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F764CF" w:rsidRPr="00F764CF" w:rsidRDefault="00F764CF" w:rsidP="00F764CF">
      <w:pPr>
        <w:ind w:left="720" w:hanging="720"/>
      </w:pPr>
      <w:r w:rsidRPr="00F764CF">
        <w:t>29.</w:t>
      </w:r>
      <w:r w:rsidRPr="00F764CF">
        <w:tab/>
        <w:t xml:space="preserve">Do </w:t>
      </w:r>
      <w:proofErr w:type="spellStart"/>
      <w:r w:rsidRPr="00F764CF">
        <w:t>consultees</w:t>
      </w:r>
      <w:proofErr w:type="spellEnd"/>
      <w:r w:rsidRPr="00F764CF">
        <w:t xml:space="preserve"> agree that it is not necessary to have legislative provision on the </w:t>
      </w:r>
      <w:proofErr w:type="spellStart"/>
      <w:r w:rsidRPr="00F764CF">
        <w:t>cumulation</w:t>
      </w:r>
      <w:proofErr w:type="spellEnd"/>
      <w:r w:rsidRPr="00F764CF">
        <w:t xml:space="preserve"> of a penalty and other remedies?</w:t>
      </w:r>
    </w:p>
    <w:p w:rsidR="00F764CF" w:rsidRPr="00F764CF" w:rsidRDefault="00F764CF" w:rsidP="00F764CF">
      <w:pPr>
        <w:ind w:left="720" w:hanging="720"/>
        <w:jc w:val="right"/>
        <w:rPr>
          <w:b/>
        </w:rPr>
      </w:pPr>
      <w:r w:rsidRPr="00F764CF">
        <w:t>(Paragraph 5.82)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2</w:t>
            </w:r>
            <w:r w:rsidRPr="001721D7">
              <w:rPr>
                <w:rFonts w:cs="Arial"/>
                <w:b/>
              </w:rPr>
              <w:t>9</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F764CF" w:rsidRPr="00F764CF" w:rsidRDefault="00F764CF" w:rsidP="00F764CF">
      <w:pPr>
        <w:ind w:left="720" w:hanging="720"/>
      </w:pPr>
      <w:r w:rsidRPr="00F764CF">
        <w:t>30.</w:t>
      </w:r>
      <w:r w:rsidRPr="00F764CF">
        <w:tab/>
        <w:t xml:space="preserve">Do </w:t>
      </w:r>
      <w:proofErr w:type="spellStart"/>
      <w:r w:rsidRPr="00F764CF">
        <w:t>consultees</w:t>
      </w:r>
      <w:proofErr w:type="spellEnd"/>
      <w:r w:rsidRPr="00F764CF">
        <w:t xml:space="preserve"> agree that in any law on penalty clauses it should be made clear that parties cannot contract out of the application of that law?</w:t>
      </w:r>
    </w:p>
    <w:p w:rsidR="00F764CF" w:rsidRPr="00F764CF" w:rsidRDefault="00F764CF" w:rsidP="00F764CF">
      <w:pPr>
        <w:ind w:left="720" w:hanging="720"/>
        <w:jc w:val="right"/>
        <w:rPr>
          <w:b/>
        </w:rPr>
      </w:pPr>
      <w:r w:rsidRPr="00F764CF">
        <w:t>(Paragraph 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3</w:t>
            </w:r>
            <w:r w:rsidRPr="001721D7">
              <w:rPr>
                <w:rFonts w:cs="Arial"/>
                <w:b/>
              </w:rPr>
              <w:t>0</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p>
    <w:p w:rsidR="00F764CF" w:rsidRPr="00F764CF" w:rsidRDefault="00F764CF" w:rsidP="00F764CF">
      <w:pPr>
        <w:ind w:left="720" w:hanging="720"/>
      </w:pPr>
      <w:r w:rsidRPr="00F764CF">
        <w:t>31.</w:t>
      </w:r>
      <w:r w:rsidRPr="00F764CF">
        <w:tab/>
        <w:t xml:space="preserve">Do </w:t>
      </w:r>
      <w:proofErr w:type="spellStart"/>
      <w:r w:rsidRPr="00F764CF">
        <w:t>consultees</w:t>
      </w:r>
      <w:proofErr w:type="spellEnd"/>
      <w:r w:rsidRPr="00F764CF">
        <w:t xml:space="preserve"> agree that the proposed rules on penalties should apply to such penalties provided for in bonds and other unilateral voluntary obligations in the same way as to those provided for in contracts?</w:t>
      </w:r>
    </w:p>
    <w:p w:rsidR="00F764CF" w:rsidRPr="00F764CF" w:rsidRDefault="00F764CF" w:rsidP="00F764CF">
      <w:pPr>
        <w:ind w:left="720" w:hanging="720"/>
        <w:jc w:val="right"/>
        <w:rPr>
          <w:b/>
        </w:rPr>
      </w:pPr>
      <w:r w:rsidRPr="00F764CF">
        <w:t>(Paragraph 5.84)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3</w:t>
            </w:r>
            <w:r w:rsidRPr="001721D7">
              <w:rPr>
                <w:rFonts w:cs="Arial"/>
                <w:b/>
              </w:rPr>
              <w:t>1</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058CB" w:rsidRPr="001721D7" w:rsidRDefault="00A058CB" w:rsidP="00A058CB">
      <w:pPr>
        <w:rPr>
          <w:rFonts w:cs="Arial"/>
        </w:rPr>
      </w:pPr>
      <w:bookmarkStart w:id="0" w:name="_GoBack"/>
      <w:bookmarkEnd w:id="0"/>
    </w:p>
    <w:p w:rsidR="00F764CF" w:rsidRPr="00F764CF" w:rsidRDefault="00F764CF" w:rsidP="00F764CF">
      <w:pPr>
        <w:ind w:left="720" w:hanging="720"/>
      </w:pPr>
      <w:r w:rsidRPr="00F764CF">
        <w:lastRenderedPageBreak/>
        <w:t>32.</w:t>
      </w:r>
      <w:r w:rsidRPr="00F764CF">
        <w:tab/>
        <w:t xml:space="preserve">Do </w:t>
      </w:r>
      <w:proofErr w:type="spellStart"/>
      <w:r w:rsidRPr="00F764CF">
        <w:t>consultees</w:t>
      </w:r>
      <w:proofErr w:type="spellEnd"/>
      <w:r w:rsidRPr="00F764CF">
        <w:t xml:space="preserve"> agree that any new legislation (including outright abolition of the penalties rule, in whole or in part) should apply only to penalty clauses agreed after it comes into force?  </w:t>
      </w:r>
    </w:p>
    <w:p w:rsidR="00F764CF" w:rsidRPr="00F764CF" w:rsidRDefault="00F764CF" w:rsidP="00F764CF">
      <w:pPr>
        <w:ind w:left="720" w:hanging="720"/>
        <w:jc w:val="right"/>
        <w:rPr>
          <w:b/>
        </w:rPr>
      </w:pPr>
      <w:r w:rsidRPr="00F764CF">
        <w:t>(Paragraph 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058CB" w:rsidRPr="001721D7" w:rsidTr="000E2EE7">
        <w:tc>
          <w:tcPr>
            <w:tcW w:w="9245" w:type="dxa"/>
          </w:tcPr>
          <w:p w:rsidR="00A058CB" w:rsidRPr="001721D7" w:rsidRDefault="00A058CB" w:rsidP="000E2EE7">
            <w:pPr>
              <w:rPr>
                <w:rFonts w:cs="Arial"/>
              </w:rPr>
            </w:pPr>
            <w:r w:rsidRPr="001721D7">
              <w:rPr>
                <w:rFonts w:cs="Arial"/>
                <w:b/>
              </w:rPr>
              <w:t xml:space="preserve">Comments on </w:t>
            </w:r>
            <w:r>
              <w:rPr>
                <w:rFonts w:cs="Arial"/>
                <w:b/>
              </w:rPr>
              <w:t>Question 3</w:t>
            </w:r>
            <w:r w:rsidRPr="001721D7">
              <w:rPr>
                <w:rFonts w:cs="Arial"/>
                <w:b/>
              </w:rPr>
              <w:t>2</w:t>
            </w:r>
          </w:p>
          <w:p w:rsidR="00A058CB" w:rsidRPr="001721D7" w:rsidRDefault="00A058CB" w:rsidP="000E2E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721D7" w:rsidRPr="001721D7" w:rsidRDefault="001721D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B6C19">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footerReference w:type="even" r:id="rId11"/>
      <w:footerReference w:type="default" r:id="rId12"/>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19" w:rsidRDefault="009B6C19">
      <w:r>
        <w:separator/>
      </w:r>
    </w:p>
  </w:endnote>
  <w:endnote w:type="continuationSeparator" w:id="0">
    <w:p w:rsidR="009B6C19" w:rsidRDefault="009B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465">
      <w:rPr>
        <w:rStyle w:val="PageNumber"/>
        <w:noProof/>
      </w:rPr>
      <w:t>2</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19" w:rsidRDefault="009B6C19">
      <w:r>
        <w:separator/>
      </w:r>
    </w:p>
  </w:footnote>
  <w:footnote w:type="continuationSeparator" w:id="0">
    <w:p w:rsidR="009B6C19" w:rsidRDefault="009B6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1C17144"/>
    <w:multiLevelType w:val="singleLevel"/>
    <w:tmpl w:val="C91AA670"/>
    <w:lvl w:ilvl="0">
      <w:start w:val="1"/>
      <w:numFmt w:val="lowerLetter"/>
      <w:lvlText w:val="%1."/>
      <w:legacy w:legacy="1" w:legacySpace="288" w:legacyIndent="720"/>
      <w:lvlJc w:val="left"/>
    </w:lvl>
  </w:abstractNum>
  <w:abstractNum w:abstractNumId="2">
    <w:nsid w:val="05DD137E"/>
    <w:multiLevelType w:val="singleLevel"/>
    <w:tmpl w:val="C91AA670"/>
    <w:lvl w:ilvl="0">
      <w:start w:val="1"/>
      <w:numFmt w:val="lowerLetter"/>
      <w:lvlText w:val="%1."/>
      <w:legacy w:legacy="1" w:legacySpace="288" w:legacyIndent="720"/>
      <w:lvlJc w:val="left"/>
    </w:lvl>
  </w:abstractNum>
  <w:abstractNum w:abstractNumId="3">
    <w:nsid w:val="0D9700E8"/>
    <w:multiLevelType w:val="singleLevel"/>
    <w:tmpl w:val="C91AA670"/>
    <w:lvl w:ilvl="0">
      <w:start w:val="1"/>
      <w:numFmt w:val="lowerLetter"/>
      <w:lvlText w:val="%1."/>
      <w:legacy w:legacy="1" w:legacySpace="288" w:legacyIndent="720"/>
      <w:lvlJc w:val="left"/>
    </w:lvl>
  </w:abstractNum>
  <w:abstractNum w:abstractNumId="4">
    <w:nsid w:val="108026DF"/>
    <w:multiLevelType w:val="singleLevel"/>
    <w:tmpl w:val="C91AA670"/>
    <w:lvl w:ilvl="0">
      <w:start w:val="1"/>
      <w:numFmt w:val="lowerLetter"/>
      <w:lvlText w:val="%1."/>
      <w:legacy w:legacy="1" w:legacySpace="288" w:legacyIndent="720"/>
      <w:lvlJc w:val="left"/>
    </w:lvl>
  </w:abstractNum>
  <w:abstractNum w:abstractNumId="5">
    <w:nsid w:val="15023502"/>
    <w:multiLevelType w:val="singleLevel"/>
    <w:tmpl w:val="C91AA670"/>
    <w:lvl w:ilvl="0">
      <w:start w:val="1"/>
      <w:numFmt w:val="lowerLetter"/>
      <w:lvlText w:val="%1."/>
      <w:legacy w:legacy="1" w:legacySpace="288" w:legacyIndent="720"/>
      <w:lvlJc w:val="left"/>
    </w:lvl>
  </w:abstractNum>
  <w:abstractNum w:abstractNumId="6">
    <w:nsid w:val="177176C4"/>
    <w:multiLevelType w:val="singleLevel"/>
    <w:tmpl w:val="C91AA670"/>
    <w:lvl w:ilvl="0">
      <w:start w:val="1"/>
      <w:numFmt w:val="lowerLetter"/>
      <w:lvlText w:val="%1."/>
      <w:legacy w:legacy="1" w:legacySpace="288" w:legacyIndent="720"/>
      <w:lvlJc w:val="left"/>
    </w:lvl>
  </w:abstractNum>
  <w:abstractNum w:abstractNumId="7">
    <w:nsid w:val="21A746B2"/>
    <w:multiLevelType w:val="singleLevel"/>
    <w:tmpl w:val="C91AA670"/>
    <w:lvl w:ilvl="0">
      <w:start w:val="1"/>
      <w:numFmt w:val="lowerLetter"/>
      <w:lvlText w:val="%1."/>
      <w:legacy w:legacy="1" w:legacySpace="288" w:legacyIndent="720"/>
      <w:lvlJc w:val="left"/>
    </w:lvl>
  </w:abstractNum>
  <w:abstractNum w:abstractNumId="8">
    <w:nsid w:val="27036B2C"/>
    <w:multiLevelType w:val="singleLevel"/>
    <w:tmpl w:val="C91AA670"/>
    <w:lvl w:ilvl="0">
      <w:start w:val="1"/>
      <w:numFmt w:val="lowerLetter"/>
      <w:lvlText w:val="%1."/>
      <w:legacy w:legacy="1" w:legacySpace="288" w:legacyIndent="720"/>
      <w:lvlJc w:val="left"/>
    </w:lvl>
  </w:abstractNum>
  <w:abstractNum w:abstractNumId="9">
    <w:nsid w:val="2E2A2B3E"/>
    <w:multiLevelType w:val="singleLevel"/>
    <w:tmpl w:val="C91AA670"/>
    <w:lvl w:ilvl="0">
      <w:start w:val="1"/>
      <w:numFmt w:val="lowerLetter"/>
      <w:lvlText w:val="%1."/>
      <w:legacy w:legacy="1" w:legacySpace="288" w:legacyIndent="720"/>
      <w:lvlJc w:val="left"/>
    </w:lvl>
  </w:abstractNum>
  <w:abstractNum w:abstractNumId="10">
    <w:nsid w:val="31276A2E"/>
    <w:multiLevelType w:val="singleLevel"/>
    <w:tmpl w:val="C91AA670"/>
    <w:lvl w:ilvl="0">
      <w:start w:val="1"/>
      <w:numFmt w:val="lowerLetter"/>
      <w:lvlText w:val="%1."/>
      <w:legacy w:legacy="1" w:legacySpace="288" w:legacyIndent="720"/>
      <w:lvlJc w:val="left"/>
    </w:lvl>
  </w:abstractNum>
  <w:abstractNum w:abstractNumId="11">
    <w:nsid w:val="348A4EC1"/>
    <w:multiLevelType w:val="singleLevel"/>
    <w:tmpl w:val="C91AA670"/>
    <w:lvl w:ilvl="0">
      <w:start w:val="1"/>
      <w:numFmt w:val="lowerLetter"/>
      <w:lvlText w:val="%1."/>
      <w:legacy w:legacy="1" w:legacySpace="288" w:legacyIndent="720"/>
      <w:lvlJc w:val="left"/>
    </w:lvl>
  </w:abstractNum>
  <w:abstractNum w:abstractNumId="12">
    <w:nsid w:val="35CD3F82"/>
    <w:multiLevelType w:val="singleLevel"/>
    <w:tmpl w:val="C91AA670"/>
    <w:lvl w:ilvl="0">
      <w:start w:val="1"/>
      <w:numFmt w:val="lowerLetter"/>
      <w:lvlText w:val="%1."/>
      <w:legacy w:legacy="1" w:legacySpace="288" w:legacyIndent="720"/>
      <w:lvlJc w:val="left"/>
    </w:lvl>
  </w:abstractNum>
  <w:abstractNum w:abstractNumId="13">
    <w:nsid w:val="3AFE5E18"/>
    <w:multiLevelType w:val="singleLevel"/>
    <w:tmpl w:val="C91AA670"/>
    <w:lvl w:ilvl="0">
      <w:start w:val="1"/>
      <w:numFmt w:val="lowerLetter"/>
      <w:lvlText w:val="%1."/>
      <w:legacy w:legacy="1" w:legacySpace="288" w:legacyIndent="720"/>
      <w:lvlJc w:val="left"/>
    </w:lvl>
  </w:abstractNum>
  <w:abstractNum w:abstractNumId="14">
    <w:nsid w:val="3B8B7F10"/>
    <w:multiLevelType w:val="singleLevel"/>
    <w:tmpl w:val="C91AA670"/>
    <w:lvl w:ilvl="0">
      <w:start w:val="1"/>
      <w:numFmt w:val="lowerLetter"/>
      <w:lvlText w:val="%1."/>
      <w:legacy w:legacy="1" w:legacySpace="288" w:legacyIndent="720"/>
      <w:lvlJc w:val="left"/>
    </w:lvl>
  </w:abstractNum>
  <w:abstractNum w:abstractNumId="15">
    <w:nsid w:val="3C8C7E7C"/>
    <w:multiLevelType w:val="singleLevel"/>
    <w:tmpl w:val="C91AA670"/>
    <w:lvl w:ilvl="0">
      <w:start w:val="1"/>
      <w:numFmt w:val="lowerLetter"/>
      <w:lvlText w:val="%1."/>
      <w:legacy w:legacy="1" w:legacySpace="288" w:legacyIndent="720"/>
      <w:lvlJc w:val="left"/>
    </w:lvl>
  </w:abstractNum>
  <w:abstractNum w:abstractNumId="16">
    <w:nsid w:val="42A876FF"/>
    <w:multiLevelType w:val="singleLevel"/>
    <w:tmpl w:val="C91AA670"/>
    <w:lvl w:ilvl="0">
      <w:start w:val="1"/>
      <w:numFmt w:val="lowerLetter"/>
      <w:lvlText w:val="%1."/>
      <w:legacy w:legacy="1" w:legacySpace="288" w:legacyIndent="720"/>
      <w:lvlJc w:val="left"/>
    </w:lvl>
  </w:abstractNum>
  <w:abstractNum w:abstractNumId="17">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8">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nsid w:val="48DF6A39"/>
    <w:multiLevelType w:val="singleLevel"/>
    <w:tmpl w:val="C91AA670"/>
    <w:lvl w:ilvl="0">
      <w:start w:val="1"/>
      <w:numFmt w:val="lowerLetter"/>
      <w:lvlText w:val="%1."/>
      <w:legacy w:legacy="1" w:legacySpace="288" w:legacyIndent="720"/>
      <w:lvlJc w:val="left"/>
    </w:lvl>
  </w:abstractNum>
  <w:abstractNum w:abstractNumId="2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543E0E21"/>
    <w:multiLevelType w:val="singleLevel"/>
    <w:tmpl w:val="C91AA670"/>
    <w:lvl w:ilvl="0">
      <w:start w:val="1"/>
      <w:numFmt w:val="lowerLetter"/>
      <w:lvlText w:val="%1."/>
      <w:legacy w:legacy="1" w:legacySpace="288" w:legacyIndent="720"/>
      <w:lvlJc w:val="left"/>
    </w:lvl>
  </w:abstractNum>
  <w:abstractNum w:abstractNumId="22">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nsid w:val="611A6346"/>
    <w:multiLevelType w:val="singleLevel"/>
    <w:tmpl w:val="C91AA670"/>
    <w:lvl w:ilvl="0">
      <w:start w:val="1"/>
      <w:numFmt w:val="lowerLetter"/>
      <w:lvlText w:val="%1."/>
      <w:legacy w:legacy="1" w:legacySpace="288" w:legacyIndent="720"/>
      <w:lvlJc w:val="left"/>
    </w:lvl>
  </w:abstractNum>
  <w:abstractNum w:abstractNumId="24">
    <w:nsid w:val="65E71ABB"/>
    <w:multiLevelType w:val="singleLevel"/>
    <w:tmpl w:val="C91AA670"/>
    <w:lvl w:ilvl="0">
      <w:start w:val="1"/>
      <w:numFmt w:val="lowerLetter"/>
      <w:lvlText w:val="%1."/>
      <w:legacy w:legacy="1" w:legacySpace="288" w:legacyIndent="720"/>
      <w:lvlJc w:val="left"/>
    </w:lvl>
  </w:abstractNum>
  <w:abstractNum w:abstractNumId="25">
    <w:nsid w:val="68874A0D"/>
    <w:multiLevelType w:val="singleLevel"/>
    <w:tmpl w:val="C91AA670"/>
    <w:lvl w:ilvl="0">
      <w:start w:val="1"/>
      <w:numFmt w:val="lowerLetter"/>
      <w:lvlText w:val="%1."/>
      <w:legacy w:legacy="1" w:legacySpace="288" w:legacyIndent="720"/>
      <w:lvlJc w:val="left"/>
    </w:lvl>
  </w:abstractNum>
  <w:abstractNum w:abstractNumId="26">
    <w:nsid w:val="71E2383C"/>
    <w:multiLevelType w:val="singleLevel"/>
    <w:tmpl w:val="C91AA670"/>
    <w:lvl w:ilvl="0">
      <w:start w:val="1"/>
      <w:numFmt w:val="lowerLetter"/>
      <w:lvlText w:val="%1."/>
      <w:legacy w:legacy="1" w:legacySpace="288" w:legacyIndent="720"/>
      <w:lvlJc w:val="left"/>
    </w:lvl>
  </w:abstractNum>
  <w:abstractNum w:abstractNumId="27">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8">
    <w:nsid w:val="7EAB3554"/>
    <w:multiLevelType w:val="singleLevel"/>
    <w:tmpl w:val="C91AA670"/>
    <w:lvl w:ilvl="0">
      <w:start w:val="1"/>
      <w:numFmt w:val="lowerLetter"/>
      <w:lvlText w:val="%1."/>
      <w:legacy w:legacy="1" w:legacySpace="288" w:legacyIndent="720"/>
      <w:lvlJc w:val="left"/>
    </w:lvl>
  </w:abstractNum>
  <w:abstractNum w:abstractNumId="29">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7"/>
  </w:num>
  <w:num w:numId="3">
    <w:abstractNumId w:val="3"/>
  </w:num>
  <w:num w:numId="4">
    <w:abstractNumId w:val="16"/>
  </w:num>
  <w:num w:numId="5">
    <w:abstractNumId w:val="14"/>
  </w:num>
  <w:num w:numId="6">
    <w:abstractNumId w:val="25"/>
  </w:num>
  <w:num w:numId="7">
    <w:abstractNumId w:val="2"/>
  </w:num>
  <w:num w:numId="8">
    <w:abstractNumId w:val="27"/>
  </w:num>
  <w:num w:numId="9">
    <w:abstractNumId w:val="7"/>
  </w:num>
  <w:num w:numId="10">
    <w:abstractNumId w:val="12"/>
  </w:num>
  <w:num w:numId="11">
    <w:abstractNumId w:val="26"/>
  </w:num>
  <w:num w:numId="12">
    <w:abstractNumId w:val="10"/>
  </w:num>
  <w:num w:numId="13">
    <w:abstractNumId w:val="5"/>
  </w:num>
  <w:num w:numId="14">
    <w:abstractNumId w:val="19"/>
  </w:num>
  <w:num w:numId="15">
    <w:abstractNumId w:val="28"/>
  </w:num>
  <w:num w:numId="16">
    <w:abstractNumId w:val="29"/>
  </w:num>
  <w:num w:numId="17">
    <w:abstractNumId w:val="4"/>
  </w:num>
  <w:num w:numId="18">
    <w:abstractNumId w:val="8"/>
  </w:num>
  <w:num w:numId="19">
    <w:abstractNumId w:val="6"/>
  </w:num>
  <w:num w:numId="20">
    <w:abstractNumId w:val="21"/>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lvlOverride w:ilvl="0">
      <w:startOverride w:val="9"/>
    </w:lvlOverride>
  </w:num>
  <w:num w:numId="25">
    <w:abstractNumId w:val="18"/>
  </w:num>
  <w:num w:numId="26">
    <w:abstractNumId w:val="20"/>
  </w:num>
  <w:num w:numId="27">
    <w:abstractNumId w:val="11"/>
  </w:num>
  <w:num w:numId="28">
    <w:abstractNumId w:val="23"/>
  </w:num>
  <w:num w:numId="29">
    <w:abstractNumId w:val="13"/>
  </w:num>
  <w:num w:numId="30">
    <w:abstractNumId w:val="1"/>
  </w:num>
  <w:num w:numId="31">
    <w:abstractNumId w:val="9"/>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19"/>
    <w:rsid w:val="001217DA"/>
    <w:rsid w:val="001721D7"/>
    <w:rsid w:val="001727FC"/>
    <w:rsid w:val="001909DB"/>
    <w:rsid w:val="00193A11"/>
    <w:rsid w:val="001B4A68"/>
    <w:rsid w:val="00203465"/>
    <w:rsid w:val="00235E7F"/>
    <w:rsid w:val="0026582F"/>
    <w:rsid w:val="003A4ED7"/>
    <w:rsid w:val="003F64A5"/>
    <w:rsid w:val="00441C79"/>
    <w:rsid w:val="004C69FA"/>
    <w:rsid w:val="006A2671"/>
    <w:rsid w:val="006F0AA1"/>
    <w:rsid w:val="007209EA"/>
    <w:rsid w:val="007C7826"/>
    <w:rsid w:val="00806B61"/>
    <w:rsid w:val="0088343D"/>
    <w:rsid w:val="008C0097"/>
    <w:rsid w:val="009B6C19"/>
    <w:rsid w:val="009C383B"/>
    <w:rsid w:val="009F355F"/>
    <w:rsid w:val="00A058CB"/>
    <w:rsid w:val="00A215D7"/>
    <w:rsid w:val="00A7363D"/>
    <w:rsid w:val="00B738CB"/>
    <w:rsid w:val="00C539FD"/>
    <w:rsid w:val="00CE29B3"/>
    <w:rsid w:val="00D73010"/>
    <w:rsid w:val="00DD7C6C"/>
    <w:rsid w:val="00E41BBB"/>
    <w:rsid w:val="00E611FA"/>
    <w:rsid w:val="00EC37E4"/>
    <w:rsid w:val="00EC3EFF"/>
    <w:rsid w:val="00F764CF"/>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link w:val="Heading1Char"/>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link w:val="BodyTextChar"/>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character" w:customStyle="1" w:styleId="Heading1Char">
    <w:name w:val="Heading 1 Char"/>
    <w:link w:val="Heading1"/>
    <w:rsid w:val="00A058CB"/>
    <w:rPr>
      <w:rFonts w:ascii="Arial" w:hAnsi="Arial"/>
      <w:kern w:val="24"/>
      <w:sz w:val="22"/>
      <w:lang w:eastAsia="en-US"/>
    </w:rPr>
  </w:style>
  <w:style w:type="character" w:customStyle="1" w:styleId="BodyTextChar">
    <w:name w:val="Body Text Char"/>
    <w:link w:val="BodyText"/>
    <w:rsid w:val="00A058CB"/>
    <w:rPr>
      <w:rFonts w:ascii="Arial" w:hAnsi="Arial"/>
      <w:sz w:val="22"/>
      <w:lang w:val="en-US" w:eastAsia="en-US"/>
    </w:rPr>
  </w:style>
  <w:style w:type="paragraph" w:styleId="BalloonText">
    <w:name w:val="Balloon Text"/>
    <w:basedOn w:val="Normal"/>
    <w:link w:val="BalloonTextChar"/>
    <w:rsid w:val="00203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346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link w:val="Heading1Char"/>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link w:val="BodyTextChar"/>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character" w:customStyle="1" w:styleId="Heading1Char">
    <w:name w:val="Heading 1 Char"/>
    <w:link w:val="Heading1"/>
    <w:rsid w:val="00A058CB"/>
    <w:rPr>
      <w:rFonts w:ascii="Arial" w:hAnsi="Arial"/>
      <w:kern w:val="24"/>
      <w:sz w:val="22"/>
      <w:lang w:eastAsia="en-US"/>
    </w:rPr>
  </w:style>
  <w:style w:type="character" w:customStyle="1" w:styleId="BodyTextChar">
    <w:name w:val="Body Text Char"/>
    <w:link w:val="BodyText"/>
    <w:rsid w:val="00A058CB"/>
    <w:rPr>
      <w:rFonts w:ascii="Arial" w:hAnsi="Arial"/>
      <w:sz w:val="22"/>
      <w:lang w:val="en-US" w:eastAsia="en-US"/>
    </w:rPr>
  </w:style>
  <w:style w:type="paragraph" w:styleId="BalloonText">
    <w:name w:val="Balloon Text"/>
    <w:basedOn w:val="Normal"/>
    <w:link w:val="BalloonTextChar"/>
    <w:rsid w:val="00203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34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otlawcom.gov.uk/contact-us" TargetMode="External"/><Relationship Id="rId4" Type="http://schemas.openxmlformats.org/officeDocument/2006/relationships/settings" Target="settings.xml"/><Relationship Id="rId9" Type="http://schemas.openxmlformats.org/officeDocument/2006/relationships/hyperlink" Target="mailto:info@scotlawcom.gsi.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 Form</Template>
  <TotalTime>18</TotalTime>
  <Pages>10</Pages>
  <Words>1835</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12870</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Anna Mackinnon</dc:creator>
  <cp:keywords>SLC - Response Form</cp:keywords>
  <cp:lastModifiedBy>Anna Mackinnon</cp:lastModifiedBy>
  <cp:revision>2</cp:revision>
  <cp:lastPrinted>2016-11-01T10:47:00Z</cp:lastPrinted>
  <dcterms:created xsi:type="dcterms:W3CDTF">2016-11-01T10:22:00Z</dcterms:created>
  <dcterms:modified xsi:type="dcterms:W3CDTF">2016-11-01T10:48:00Z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