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F" w:rsidRDefault="00F6743E">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9525" b="9525"/>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425A70" w:rsidP="00E611FA">
      <w:pPr>
        <w:pStyle w:val="Introduction"/>
        <w:spacing w:after="120"/>
        <w:rPr>
          <w:rFonts w:cs="Arial"/>
        </w:rPr>
      </w:pPr>
      <w:r>
        <w:rPr>
          <w:rFonts w:cs="Arial"/>
        </w:rPr>
        <w:t>DISCUSSION PAPER ON</w:t>
      </w:r>
      <w:r w:rsidR="00985AC5">
        <w:rPr>
          <w:rFonts w:cs="Arial"/>
        </w:rPr>
        <w:t xml:space="preserve"> </w:t>
      </w:r>
      <w:r w:rsidR="00154836">
        <w:rPr>
          <w:rFonts w:cs="Arial"/>
        </w:rPr>
        <w:t>ASPECTS OF LEASES</w:t>
      </w:r>
      <w:r>
        <w:rPr>
          <w:rFonts w:cs="Arial"/>
        </w:rPr>
        <w:t>: TERMINATION</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w:t>
      </w:r>
      <w:bookmarkStart w:id="0" w:name="_GoBack"/>
      <w:bookmarkEnd w:id="0"/>
      <w:r w:rsidRPr="001721D7">
        <w:rPr>
          <w:rFonts w:cs="Arial"/>
        </w:rPr>
        <w:t xml:space="preserve">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10"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1"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EH9 1PR.</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rsidR="001721D7" w:rsidRDefault="001721D7">
      <w:pPr>
        <w:rPr>
          <w:rFonts w:cs="Arial"/>
        </w:rPr>
      </w:pPr>
    </w:p>
    <w:p w:rsidR="00154836" w:rsidRPr="00FD28C4" w:rsidRDefault="00154836" w:rsidP="00CE1747">
      <w:pPr>
        <w:pStyle w:val="Proprec"/>
        <w:numPr>
          <w:ilvl w:val="0"/>
          <w:numId w:val="0"/>
        </w:numPr>
        <w:tabs>
          <w:tab w:val="clear" w:pos="0"/>
          <w:tab w:val="left" w:pos="-142"/>
        </w:tabs>
        <w:ind w:left="720" w:hanging="720"/>
        <w:rPr>
          <w:b w:val="0"/>
        </w:rPr>
      </w:pPr>
      <w:r>
        <w:rPr>
          <w:rFonts w:cs="Arial"/>
        </w:rPr>
        <w:t>1.</w:t>
      </w:r>
      <w:r>
        <w:rPr>
          <w:rFonts w:cs="Arial"/>
        </w:rPr>
        <w:tab/>
      </w:r>
      <w:r w:rsidRPr="00FD28C4">
        <w:rPr>
          <w:b w:val="0"/>
        </w:rPr>
        <w:t xml:space="preserve">Do consultees consider that tacit relocation should be dis-applied in relation to </w:t>
      </w:r>
      <w:r>
        <w:rPr>
          <w:b w:val="0"/>
        </w:rPr>
        <w:t xml:space="preserve">commercial </w:t>
      </w:r>
      <w:r w:rsidRPr="00FD28C4">
        <w:rPr>
          <w:b w:val="0"/>
        </w:rPr>
        <w:t>leases?</w:t>
      </w:r>
    </w:p>
    <w:p w:rsidR="00154836" w:rsidRPr="00154836" w:rsidRDefault="00154836" w:rsidP="00154836">
      <w:pPr>
        <w:spacing w:line="240" w:lineRule="atLeast"/>
        <w:jc w:val="right"/>
        <w:rPr>
          <w:szCs w:val="24"/>
          <w:lang w:eastAsia="en-GB"/>
        </w:rPr>
      </w:pPr>
      <w:r w:rsidRPr="00154836">
        <w:rPr>
          <w:szCs w:val="24"/>
          <w:lang w:eastAsia="en-GB"/>
        </w:rPr>
        <w:t>(Paragraph 2.49)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rPr>
          <w:rFonts w:cs="Arial"/>
        </w:rPr>
      </w:pPr>
    </w:p>
    <w:p w:rsidR="00985AC5" w:rsidRPr="00985AC5" w:rsidRDefault="00154836" w:rsidP="00985AC5">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2.</w:t>
      </w:r>
      <w:r>
        <w:rPr>
          <w:rFonts w:cs="Arial"/>
        </w:rPr>
        <w:tab/>
      </w:r>
      <w:r w:rsidR="00985AC5" w:rsidRPr="00985AC5">
        <w:rPr>
          <w:szCs w:val="22"/>
        </w:rPr>
        <w:t>If tacit relocation is dis-applied from commercial leases, should the parties to a commercial lease have the right to opt in to tacit relocation?</w:t>
      </w:r>
    </w:p>
    <w:p w:rsidR="00985AC5" w:rsidRPr="00985AC5" w:rsidRDefault="00985AC5" w:rsidP="00985AC5">
      <w:pPr>
        <w:spacing w:line="240" w:lineRule="atLeast"/>
        <w:jc w:val="right"/>
        <w:rPr>
          <w:szCs w:val="24"/>
          <w:lang w:eastAsia="en-GB"/>
        </w:rPr>
      </w:pPr>
      <w:r w:rsidRPr="00985AC5">
        <w:rPr>
          <w:szCs w:val="24"/>
          <w:lang w:eastAsia="en-GB"/>
        </w:rPr>
        <w:t>(Paragraph 2.49)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985AC5" w:rsidRPr="00985AC5" w:rsidRDefault="00154836" w:rsidP="00985AC5">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3.</w:t>
      </w:r>
      <w:r>
        <w:rPr>
          <w:rFonts w:cs="Arial"/>
        </w:rPr>
        <w:tab/>
      </w:r>
      <w:r w:rsidR="00985AC5" w:rsidRPr="00985AC5">
        <w:rPr>
          <w:szCs w:val="22"/>
        </w:rPr>
        <w:t>In the event that consultees consider that tacit relocation should be dis-applied from commercial leases, do consultees consider that a statutory scheme should be put in place to regulate what happens at the end of a fixed term lease if the parties have failed to opt into the current doctrine of tacit relocation but act as though the lease is continuing?</w:t>
      </w:r>
    </w:p>
    <w:p w:rsidR="00985AC5" w:rsidRPr="00985AC5" w:rsidRDefault="00985AC5" w:rsidP="00985AC5">
      <w:pPr>
        <w:spacing w:line="240" w:lineRule="atLeast"/>
        <w:jc w:val="right"/>
        <w:rPr>
          <w:szCs w:val="24"/>
          <w:lang w:eastAsia="en-GB"/>
        </w:rPr>
      </w:pPr>
      <w:r w:rsidRPr="00985AC5">
        <w:rPr>
          <w:szCs w:val="24"/>
          <w:lang w:eastAsia="en-GB"/>
        </w:rPr>
        <w:t>(Paragraph 2.50)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985AC5" w:rsidRPr="00985AC5" w:rsidRDefault="00154836" w:rsidP="00985AC5">
      <w:pPr>
        <w:tabs>
          <w:tab w:val="clear" w:pos="720"/>
          <w:tab w:val="clear" w:pos="1440"/>
          <w:tab w:val="clear" w:pos="2160"/>
          <w:tab w:val="clear" w:pos="2880"/>
          <w:tab w:val="clear" w:pos="4680"/>
          <w:tab w:val="clear" w:pos="5400"/>
          <w:tab w:val="clear" w:pos="9000"/>
          <w:tab w:val="left" w:pos="0"/>
        </w:tabs>
        <w:outlineLvl w:val="4"/>
        <w:rPr>
          <w:szCs w:val="22"/>
        </w:rPr>
      </w:pPr>
      <w:r>
        <w:rPr>
          <w:rFonts w:cs="Arial"/>
        </w:rPr>
        <w:t>4.</w:t>
      </w:r>
      <w:r>
        <w:rPr>
          <w:rFonts w:cs="Arial"/>
        </w:rPr>
        <w:tab/>
      </w:r>
      <w:r w:rsidR="00985AC5" w:rsidRPr="00985AC5">
        <w:rPr>
          <w:szCs w:val="22"/>
        </w:rPr>
        <w:t>Should parties to a commercial lease have the right to contract out of tacit relocation?</w:t>
      </w:r>
    </w:p>
    <w:p w:rsidR="00985AC5" w:rsidRPr="00985AC5" w:rsidRDefault="00985AC5" w:rsidP="00985AC5">
      <w:pPr>
        <w:spacing w:line="240" w:lineRule="atLeast"/>
        <w:jc w:val="right"/>
        <w:rPr>
          <w:szCs w:val="24"/>
          <w:lang w:eastAsia="en-GB"/>
        </w:rPr>
      </w:pPr>
      <w:r w:rsidRPr="00985AC5">
        <w:rPr>
          <w:szCs w:val="24"/>
          <w:lang w:eastAsia="en-GB"/>
        </w:rPr>
        <w:t>(Paragraph 2.52)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rPr>
          <w:rFonts w:cs="Arial"/>
          <w:b/>
        </w:rPr>
      </w:pPr>
    </w:p>
    <w:p w:rsidR="00985AC5" w:rsidRPr="00985AC5" w:rsidRDefault="00154836" w:rsidP="00985AC5">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5.</w:t>
      </w:r>
      <w:r>
        <w:rPr>
          <w:rFonts w:cs="Arial"/>
        </w:rPr>
        <w:tab/>
      </w:r>
      <w:r w:rsidR="00985AC5" w:rsidRPr="00985AC5">
        <w:rPr>
          <w:szCs w:val="22"/>
        </w:rPr>
        <w:t xml:space="preserve">If parties to a commercial lease contract out of tacit relocation, and make no provision for what happens at the end of the lease, do consultees consider that tacit relocation </w:t>
      </w:r>
      <w:r w:rsidR="00985AC5" w:rsidRPr="00985AC5">
        <w:rPr>
          <w:szCs w:val="22"/>
        </w:rPr>
        <w:lastRenderedPageBreak/>
        <w:t>should revive as the default situation if the parties act as if the lease was continuing after the termination date?</w:t>
      </w:r>
    </w:p>
    <w:p w:rsidR="00985AC5" w:rsidRPr="00985AC5" w:rsidRDefault="00985AC5" w:rsidP="00985AC5">
      <w:pPr>
        <w:spacing w:line="240" w:lineRule="atLeast"/>
        <w:jc w:val="right"/>
        <w:rPr>
          <w:szCs w:val="24"/>
          <w:lang w:eastAsia="en-GB"/>
        </w:rPr>
      </w:pPr>
      <w:r w:rsidRPr="00985AC5">
        <w:rPr>
          <w:szCs w:val="24"/>
          <w:lang w:eastAsia="en-GB"/>
        </w:rPr>
        <w:t>(Paragraph 2.52)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985AC5" w:rsidRPr="00985AC5" w:rsidRDefault="00154836" w:rsidP="00985AC5">
      <w:pPr>
        <w:tabs>
          <w:tab w:val="clear" w:pos="720"/>
          <w:tab w:val="clear" w:pos="1440"/>
          <w:tab w:val="clear" w:pos="2160"/>
          <w:tab w:val="clear" w:pos="2880"/>
          <w:tab w:val="clear" w:pos="4680"/>
          <w:tab w:val="clear" w:pos="5400"/>
          <w:tab w:val="clear" w:pos="9000"/>
          <w:tab w:val="left" w:pos="0"/>
        </w:tabs>
        <w:ind w:left="720" w:hanging="720"/>
        <w:outlineLvl w:val="4"/>
        <w:rPr>
          <w:szCs w:val="24"/>
          <w:lang w:eastAsia="en-GB"/>
        </w:rPr>
      </w:pPr>
      <w:r>
        <w:rPr>
          <w:rFonts w:cs="Arial"/>
        </w:rPr>
        <w:t>6.</w:t>
      </w:r>
      <w:r>
        <w:rPr>
          <w:rFonts w:cs="Arial"/>
        </w:rPr>
        <w:tab/>
      </w:r>
      <w:r w:rsidR="00985AC5" w:rsidRPr="00985AC5">
        <w:rPr>
          <w:szCs w:val="22"/>
        </w:rPr>
        <w:t>Do consultees agree that the provisions of the 1907 Act should no longer regulate the giving of notice to quit in relation to the termination of commercial leases?</w:t>
      </w:r>
    </w:p>
    <w:p w:rsidR="00985AC5" w:rsidRPr="00985AC5" w:rsidRDefault="00985AC5" w:rsidP="00985AC5">
      <w:pPr>
        <w:spacing w:line="240" w:lineRule="atLeast"/>
        <w:jc w:val="right"/>
        <w:rPr>
          <w:szCs w:val="24"/>
          <w:lang w:eastAsia="en-GB"/>
        </w:rPr>
      </w:pPr>
      <w:r w:rsidRPr="00985AC5">
        <w:rPr>
          <w:szCs w:val="24"/>
          <w:lang w:eastAsia="en-GB"/>
        </w:rPr>
        <w:t>(Paragraph 3.30)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rPr>
          <w:rFonts w:cs="Arial"/>
        </w:rPr>
      </w:pPr>
    </w:p>
    <w:p w:rsidR="00985AC5" w:rsidRPr="00985AC5" w:rsidRDefault="00154836" w:rsidP="00985AC5">
      <w:pPr>
        <w:tabs>
          <w:tab w:val="clear" w:pos="720"/>
          <w:tab w:val="clear" w:pos="1440"/>
          <w:tab w:val="clear" w:pos="2160"/>
          <w:tab w:val="clear" w:pos="2880"/>
          <w:tab w:val="clear" w:pos="4680"/>
          <w:tab w:val="clear" w:pos="5400"/>
          <w:tab w:val="clear" w:pos="9000"/>
          <w:tab w:val="left" w:pos="0"/>
        </w:tabs>
        <w:outlineLvl w:val="4"/>
        <w:rPr>
          <w:szCs w:val="22"/>
        </w:rPr>
      </w:pPr>
      <w:r>
        <w:rPr>
          <w:rFonts w:cs="Arial"/>
        </w:rPr>
        <w:t xml:space="preserve">7.       </w:t>
      </w:r>
      <w:r w:rsidR="00985AC5" w:rsidRPr="00985AC5">
        <w:rPr>
          <w:szCs w:val="22"/>
        </w:rPr>
        <w:t>Should notices to quit for commercial leases always be in writing?</w:t>
      </w:r>
    </w:p>
    <w:p w:rsidR="00985AC5" w:rsidRPr="00985AC5" w:rsidRDefault="00985AC5" w:rsidP="00985AC5">
      <w:pPr>
        <w:spacing w:line="240" w:lineRule="atLeast"/>
        <w:jc w:val="right"/>
        <w:rPr>
          <w:szCs w:val="24"/>
          <w:lang w:eastAsia="en-GB"/>
        </w:rPr>
      </w:pPr>
      <w:r w:rsidRPr="00985AC5">
        <w:rPr>
          <w:szCs w:val="24"/>
          <w:lang w:eastAsia="en-GB"/>
        </w:rPr>
        <w:t>(Paragraph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985AC5" w:rsidRPr="00985AC5" w:rsidRDefault="00985AC5" w:rsidP="00985AC5">
      <w:pPr>
        <w:tabs>
          <w:tab w:val="clear" w:pos="720"/>
          <w:tab w:val="clear" w:pos="1440"/>
          <w:tab w:val="clear" w:pos="2160"/>
          <w:tab w:val="clear" w:pos="2880"/>
          <w:tab w:val="clear" w:pos="4680"/>
          <w:tab w:val="clear" w:pos="5400"/>
          <w:tab w:val="clear" w:pos="9000"/>
          <w:tab w:val="left" w:pos="0"/>
        </w:tabs>
        <w:outlineLvl w:val="4"/>
        <w:rPr>
          <w:szCs w:val="22"/>
        </w:rPr>
      </w:pPr>
      <w:r>
        <w:rPr>
          <w:szCs w:val="22"/>
        </w:rPr>
        <w:t>8.</w:t>
      </w:r>
      <w:r>
        <w:rPr>
          <w:szCs w:val="22"/>
        </w:rPr>
        <w:tab/>
      </w:r>
      <w:r w:rsidRPr="00985AC5">
        <w:rPr>
          <w:szCs w:val="22"/>
        </w:rPr>
        <w:t>Should the content of the notice be the same for both landlords and tenants?</w:t>
      </w:r>
    </w:p>
    <w:p w:rsidR="00985AC5" w:rsidRPr="00985AC5" w:rsidRDefault="00985AC5" w:rsidP="00985AC5">
      <w:pPr>
        <w:spacing w:line="240" w:lineRule="atLeast"/>
        <w:jc w:val="right"/>
        <w:rPr>
          <w:szCs w:val="24"/>
          <w:lang w:eastAsia="en-GB"/>
        </w:rPr>
      </w:pPr>
      <w:r w:rsidRPr="00985AC5">
        <w:rPr>
          <w:szCs w:val="24"/>
          <w:lang w:eastAsia="en-GB"/>
        </w:rPr>
        <w:t>(Paragraph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rPr>
          <w:rFonts w:cs="Arial"/>
        </w:rPr>
      </w:pPr>
    </w:p>
    <w:p w:rsidR="00985AC5" w:rsidRPr="00985AC5" w:rsidRDefault="00985AC5" w:rsidP="00985AC5">
      <w:pPr>
        <w:tabs>
          <w:tab w:val="clear" w:pos="720"/>
          <w:tab w:val="clear" w:pos="1440"/>
          <w:tab w:val="clear" w:pos="2160"/>
          <w:tab w:val="clear" w:pos="2880"/>
          <w:tab w:val="clear" w:pos="4680"/>
          <w:tab w:val="clear" w:pos="5400"/>
          <w:tab w:val="clear" w:pos="9000"/>
          <w:tab w:val="left" w:pos="0"/>
        </w:tabs>
        <w:outlineLvl w:val="4"/>
        <w:rPr>
          <w:szCs w:val="22"/>
        </w:rPr>
      </w:pPr>
      <w:r>
        <w:rPr>
          <w:rFonts w:cs="Arial"/>
        </w:rPr>
        <w:t>9</w:t>
      </w:r>
      <w:r w:rsidR="00154836">
        <w:rPr>
          <w:rFonts w:cs="Arial"/>
        </w:rPr>
        <w:t>.</w:t>
      </w:r>
      <w:r w:rsidR="00154836">
        <w:rPr>
          <w:rFonts w:cs="Arial"/>
        </w:rPr>
        <w:tab/>
      </w:r>
      <w:r w:rsidRPr="00985AC5">
        <w:rPr>
          <w:szCs w:val="22"/>
        </w:rPr>
        <w:t>Do consultees wish to have a prescribed standard form of notice?</w:t>
      </w:r>
    </w:p>
    <w:p w:rsidR="00985AC5" w:rsidRPr="00985AC5" w:rsidRDefault="00985AC5" w:rsidP="00985AC5">
      <w:pPr>
        <w:spacing w:line="240" w:lineRule="atLeast"/>
        <w:jc w:val="right"/>
        <w:rPr>
          <w:szCs w:val="24"/>
          <w:lang w:eastAsia="en-GB"/>
        </w:rPr>
      </w:pPr>
      <w:r w:rsidRPr="00985AC5">
        <w:rPr>
          <w:szCs w:val="24"/>
          <w:lang w:eastAsia="en-GB"/>
        </w:rPr>
        <w:t>(Paragraph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Pr="001721D7" w:rsidRDefault="001721D7">
      <w:pPr>
        <w:rPr>
          <w:rFonts w:cs="Arial"/>
        </w:rPr>
      </w:pPr>
    </w:p>
    <w:p w:rsidR="00985AC5" w:rsidRPr="00985AC5" w:rsidRDefault="00985AC5" w:rsidP="00985AC5">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lastRenderedPageBreak/>
        <w:t>10.</w:t>
      </w:r>
      <w:r>
        <w:rPr>
          <w:rFonts w:cs="Arial"/>
        </w:rPr>
        <w:tab/>
      </w:r>
      <w:r w:rsidRPr="00985AC5">
        <w:rPr>
          <w:szCs w:val="22"/>
        </w:rPr>
        <w:t>Would consultees prefer that statute should specify the essential requirements of a valid notice to quit rather than prescribing a standard form?</w:t>
      </w:r>
    </w:p>
    <w:p w:rsidR="00985AC5" w:rsidRPr="00985AC5" w:rsidRDefault="00985AC5" w:rsidP="00985AC5">
      <w:pPr>
        <w:spacing w:line="240" w:lineRule="atLeast"/>
        <w:jc w:val="right"/>
        <w:rPr>
          <w:szCs w:val="24"/>
          <w:lang w:eastAsia="en-GB"/>
        </w:rPr>
      </w:pPr>
      <w:r w:rsidRPr="00985AC5">
        <w:rPr>
          <w:szCs w:val="24"/>
          <w:lang w:eastAsia="en-GB"/>
        </w:rPr>
        <w:t>(Paragraph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Default="001721D7">
      <w:pPr>
        <w:rPr>
          <w:rFonts w:cs="Arial"/>
        </w:rPr>
      </w:pPr>
    </w:p>
    <w:p w:rsidR="00985AC5" w:rsidRPr="00985AC5" w:rsidRDefault="00985AC5" w:rsidP="00985AC5">
      <w:pPr>
        <w:tabs>
          <w:tab w:val="clear" w:pos="720"/>
          <w:tab w:val="clear" w:pos="1440"/>
          <w:tab w:val="clear" w:pos="2160"/>
          <w:tab w:val="clear" w:pos="2880"/>
          <w:tab w:val="clear" w:pos="4680"/>
          <w:tab w:val="clear" w:pos="5400"/>
          <w:tab w:val="clear" w:pos="9000"/>
          <w:tab w:val="left" w:pos="0"/>
        </w:tabs>
        <w:outlineLvl w:val="4"/>
        <w:rPr>
          <w:szCs w:val="22"/>
        </w:rPr>
      </w:pPr>
      <w:r>
        <w:rPr>
          <w:rFonts w:cs="Arial"/>
        </w:rPr>
        <w:t>11.</w:t>
      </w:r>
      <w:r>
        <w:rPr>
          <w:rFonts w:cs="Arial"/>
        </w:rPr>
        <w:tab/>
      </w:r>
      <w:r w:rsidRPr="00985AC5">
        <w:rPr>
          <w:szCs w:val="22"/>
        </w:rPr>
        <w:t>Do consultees agree that any notice given should contain the following:</w:t>
      </w:r>
    </w:p>
    <w:p w:rsidR="00985AC5" w:rsidRPr="00985AC5" w:rsidRDefault="00985AC5" w:rsidP="00985AC5">
      <w:pPr>
        <w:tabs>
          <w:tab w:val="clear" w:pos="720"/>
          <w:tab w:val="clear" w:pos="2160"/>
          <w:tab w:val="clear" w:pos="2880"/>
          <w:tab w:val="clear" w:pos="4680"/>
          <w:tab w:val="clear" w:pos="5400"/>
          <w:tab w:val="clear" w:pos="9000"/>
          <w:tab w:val="left" w:pos="426"/>
        </w:tabs>
        <w:ind w:left="709"/>
        <w:outlineLvl w:val="6"/>
        <w:rPr>
          <w:szCs w:val="22"/>
        </w:rPr>
      </w:pPr>
      <w:r w:rsidRPr="00985AC5">
        <w:rPr>
          <w:szCs w:val="22"/>
        </w:rPr>
        <w:t>(a)</w:t>
      </w:r>
      <w:r w:rsidRPr="00985AC5">
        <w:rPr>
          <w:szCs w:val="22"/>
        </w:rPr>
        <w:tab/>
        <w:t>the name and address of the party giving the notice;</w:t>
      </w:r>
    </w:p>
    <w:p w:rsidR="00985AC5" w:rsidRPr="00985AC5" w:rsidRDefault="00985AC5" w:rsidP="00985AC5">
      <w:pPr>
        <w:tabs>
          <w:tab w:val="clear" w:pos="720"/>
          <w:tab w:val="clear" w:pos="2160"/>
          <w:tab w:val="clear" w:pos="2880"/>
          <w:tab w:val="clear" w:pos="4680"/>
          <w:tab w:val="clear" w:pos="5400"/>
          <w:tab w:val="clear" w:pos="9000"/>
          <w:tab w:val="left" w:pos="0"/>
        </w:tabs>
        <w:ind w:left="709"/>
        <w:outlineLvl w:val="6"/>
        <w:rPr>
          <w:szCs w:val="22"/>
        </w:rPr>
      </w:pPr>
      <w:r w:rsidRPr="00985AC5">
        <w:rPr>
          <w:szCs w:val="22"/>
        </w:rPr>
        <w:t>(b)</w:t>
      </w:r>
      <w:r w:rsidRPr="00985AC5">
        <w:rPr>
          <w:szCs w:val="22"/>
        </w:rPr>
        <w:tab/>
        <w:t>a desc</w:t>
      </w:r>
      <w:r w:rsidR="00FB4BE5">
        <w:rPr>
          <w:szCs w:val="22"/>
        </w:rPr>
        <w:t>ription of the leased property;</w:t>
      </w:r>
    </w:p>
    <w:p w:rsidR="00985AC5" w:rsidRPr="00985AC5" w:rsidRDefault="00985AC5" w:rsidP="00985AC5">
      <w:pPr>
        <w:tabs>
          <w:tab w:val="clear" w:pos="720"/>
          <w:tab w:val="clear" w:pos="2160"/>
          <w:tab w:val="clear" w:pos="2880"/>
          <w:tab w:val="clear" w:pos="4680"/>
          <w:tab w:val="clear" w:pos="5400"/>
          <w:tab w:val="clear" w:pos="9000"/>
          <w:tab w:val="left" w:pos="0"/>
        </w:tabs>
        <w:ind w:left="709"/>
        <w:outlineLvl w:val="6"/>
        <w:rPr>
          <w:szCs w:val="22"/>
        </w:rPr>
      </w:pPr>
      <w:r w:rsidRPr="00985AC5">
        <w:rPr>
          <w:szCs w:val="22"/>
        </w:rPr>
        <w:t>(c)</w:t>
      </w:r>
      <w:r w:rsidRPr="00985AC5">
        <w:rPr>
          <w:szCs w:val="22"/>
        </w:rPr>
        <w:tab/>
        <w:t>the date upon which the tenancy comes to an end; and</w:t>
      </w:r>
    </w:p>
    <w:p w:rsidR="00985AC5" w:rsidRPr="00985AC5" w:rsidRDefault="00985AC5" w:rsidP="00985AC5">
      <w:pPr>
        <w:tabs>
          <w:tab w:val="clear" w:pos="720"/>
          <w:tab w:val="clear" w:pos="2160"/>
          <w:tab w:val="clear" w:pos="2880"/>
          <w:tab w:val="clear" w:pos="4680"/>
          <w:tab w:val="clear" w:pos="5400"/>
          <w:tab w:val="clear" w:pos="9000"/>
          <w:tab w:val="left" w:pos="0"/>
        </w:tabs>
        <w:ind w:left="709"/>
        <w:outlineLvl w:val="6"/>
        <w:rPr>
          <w:szCs w:val="22"/>
        </w:rPr>
      </w:pPr>
      <w:r w:rsidRPr="00985AC5">
        <w:rPr>
          <w:szCs w:val="22"/>
        </w:rPr>
        <w:t>(d)</w:t>
      </w:r>
      <w:r w:rsidRPr="00985AC5">
        <w:rPr>
          <w:szCs w:val="22"/>
        </w:rPr>
        <w:tab/>
        <w:t>wording to the effect that the party giving the notice intends to bring the commercial lease to an end?</w:t>
      </w:r>
    </w:p>
    <w:p w:rsidR="00985AC5" w:rsidRPr="00985AC5" w:rsidRDefault="00985AC5" w:rsidP="00985AC5">
      <w:pPr>
        <w:spacing w:line="240" w:lineRule="atLeast"/>
        <w:jc w:val="right"/>
        <w:rPr>
          <w:szCs w:val="24"/>
          <w:lang w:eastAsia="en-GB"/>
        </w:rPr>
      </w:pPr>
      <w:r w:rsidRPr="00985AC5">
        <w:rPr>
          <w:szCs w:val="24"/>
          <w:lang w:eastAsia="en-GB"/>
        </w:rPr>
        <w:t>(Paragraph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1</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985AC5" w:rsidRPr="00985AC5" w:rsidRDefault="00985AC5" w:rsidP="00985AC5">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12.</w:t>
      </w:r>
      <w:r>
        <w:rPr>
          <w:rFonts w:cs="Arial"/>
        </w:rPr>
        <w:tab/>
      </w:r>
      <w:r w:rsidRPr="00985AC5">
        <w:rPr>
          <w:szCs w:val="22"/>
        </w:rPr>
        <w:t>Do consultees consider that one of the essential requirements should be a reference to the commercial lease itself?</w:t>
      </w:r>
    </w:p>
    <w:p w:rsidR="00985AC5" w:rsidRPr="00985AC5" w:rsidRDefault="00985AC5" w:rsidP="00985AC5">
      <w:pPr>
        <w:spacing w:line="240" w:lineRule="atLeast"/>
        <w:jc w:val="right"/>
        <w:rPr>
          <w:szCs w:val="24"/>
          <w:lang w:eastAsia="en-GB"/>
        </w:rPr>
      </w:pPr>
      <w:r w:rsidRPr="00985AC5">
        <w:rPr>
          <w:szCs w:val="24"/>
          <w:lang w:eastAsia="en-GB"/>
        </w:rPr>
        <w:t>(Paragraph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2</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985AC5" w:rsidRPr="00985AC5" w:rsidRDefault="00985AC5" w:rsidP="00985AC5">
      <w:pPr>
        <w:tabs>
          <w:tab w:val="clear" w:pos="720"/>
          <w:tab w:val="clear" w:pos="1440"/>
          <w:tab w:val="clear" w:pos="2160"/>
          <w:tab w:val="clear" w:pos="2880"/>
          <w:tab w:val="clear" w:pos="4680"/>
          <w:tab w:val="clear" w:pos="5400"/>
          <w:tab w:val="clear" w:pos="9000"/>
          <w:tab w:val="left" w:pos="0"/>
        </w:tabs>
        <w:outlineLvl w:val="4"/>
        <w:rPr>
          <w:szCs w:val="22"/>
        </w:rPr>
      </w:pPr>
      <w:r>
        <w:rPr>
          <w:rFonts w:cs="Arial"/>
        </w:rPr>
        <w:t>13.</w:t>
      </w:r>
      <w:r>
        <w:rPr>
          <w:rFonts w:cs="Arial"/>
        </w:rPr>
        <w:tab/>
      </w:r>
      <w:r w:rsidRPr="00985AC5">
        <w:rPr>
          <w:szCs w:val="22"/>
        </w:rPr>
        <w:t>Do consultees consider that any other content is essential?</w:t>
      </w:r>
    </w:p>
    <w:p w:rsidR="00985AC5" w:rsidRPr="00985AC5" w:rsidRDefault="00985AC5" w:rsidP="00985AC5">
      <w:pPr>
        <w:spacing w:line="240" w:lineRule="atLeast"/>
        <w:jc w:val="right"/>
        <w:rPr>
          <w:szCs w:val="24"/>
          <w:lang w:eastAsia="en-GB"/>
        </w:rPr>
      </w:pPr>
      <w:r w:rsidRPr="00985AC5">
        <w:rPr>
          <w:szCs w:val="24"/>
          <w:lang w:eastAsia="en-GB"/>
        </w:rPr>
        <w:t>(Paragraph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3</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szCs w:val="22"/>
        </w:rPr>
        <w:lastRenderedPageBreak/>
        <w:t>14.</w:t>
      </w:r>
      <w:r>
        <w:rPr>
          <w:szCs w:val="22"/>
        </w:rPr>
        <w:tab/>
      </w:r>
      <w:r w:rsidRPr="00CE1747">
        <w:rPr>
          <w:szCs w:val="22"/>
        </w:rPr>
        <w:t>Do consultees agree that if the notice is given by an agent, the notice should contain the name and address of the agent and the name and address of the party on whose behalf it is given?</w:t>
      </w:r>
    </w:p>
    <w:p w:rsidR="00CE1747" w:rsidRPr="00CE1747" w:rsidRDefault="00CE1747" w:rsidP="00CE1747">
      <w:pPr>
        <w:spacing w:line="240" w:lineRule="atLeast"/>
        <w:jc w:val="right"/>
        <w:rPr>
          <w:szCs w:val="24"/>
          <w:lang w:eastAsia="en-GB"/>
        </w:rPr>
      </w:pPr>
      <w:r w:rsidRPr="00CE1747">
        <w:rPr>
          <w:szCs w:val="24"/>
          <w:lang w:eastAsia="en-GB"/>
        </w:rPr>
        <w:t>(Paragraph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4</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15.</w:t>
      </w:r>
      <w:r>
        <w:rPr>
          <w:rFonts w:cs="Arial"/>
        </w:rPr>
        <w:tab/>
      </w:r>
      <w:r w:rsidRPr="00CE1747">
        <w:rPr>
          <w:szCs w:val="22"/>
        </w:rPr>
        <w:t>Do consultees consider that the commonly used period of notice of 40 days is a sufficient period of notice and should remain the minimum default period of notice?</w:t>
      </w:r>
    </w:p>
    <w:p w:rsidR="00CE1747" w:rsidRPr="00CE1747" w:rsidRDefault="00CE1747" w:rsidP="00CE1747">
      <w:pPr>
        <w:spacing w:line="240" w:lineRule="atLeast"/>
        <w:jc w:val="right"/>
        <w:rPr>
          <w:szCs w:val="24"/>
          <w:lang w:eastAsia="en-GB"/>
        </w:rPr>
      </w:pPr>
      <w:r w:rsidRPr="00CE1747">
        <w:rPr>
          <w:szCs w:val="24"/>
          <w:lang w:eastAsia="en-GB"/>
        </w:rPr>
        <w:t>(paragraph 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5</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16.</w:t>
      </w:r>
      <w:r>
        <w:rPr>
          <w:rFonts w:cs="Arial"/>
        </w:rPr>
        <w:tab/>
      </w:r>
      <w:r w:rsidRPr="00CE1747">
        <w:rPr>
          <w:szCs w:val="22"/>
        </w:rPr>
        <w:t>If consultees do not consider a period of 40 days’ notice to be sufficient, then what do consultees consider would be an appropriate period of notice for commercial leases?</w:t>
      </w:r>
    </w:p>
    <w:p w:rsidR="00CE1747" w:rsidRPr="00CE1747" w:rsidRDefault="00CE1747" w:rsidP="00CE1747">
      <w:pPr>
        <w:spacing w:line="240" w:lineRule="atLeast"/>
        <w:jc w:val="right"/>
        <w:rPr>
          <w:szCs w:val="24"/>
          <w:lang w:eastAsia="en-GB"/>
        </w:rPr>
      </w:pPr>
      <w:r w:rsidRPr="00CE1747">
        <w:rPr>
          <w:szCs w:val="24"/>
          <w:lang w:eastAsia="en-GB"/>
        </w:rPr>
        <w:t>(Paragraph 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6</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17.</w:t>
      </w:r>
      <w:r>
        <w:rPr>
          <w:rFonts w:cs="Arial"/>
        </w:rPr>
        <w:tab/>
      </w:r>
      <w:r w:rsidRPr="00CE1747">
        <w:rPr>
          <w:szCs w:val="22"/>
        </w:rPr>
        <w:t>Do consultees consider that any prescribed minimum period of notice to quit for a commercial lease should apply irrespective of the form of any court proceedings which may be adopted?</w:t>
      </w:r>
    </w:p>
    <w:p w:rsidR="00CE1747" w:rsidRPr="00CE1747" w:rsidRDefault="00CE1747" w:rsidP="00CE1747">
      <w:pPr>
        <w:spacing w:line="240" w:lineRule="atLeast"/>
        <w:jc w:val="right"/>
        <w:rPr>
          <w:szCs w:val="24"/>
          <w:lang w:eastAsia="en-GB"/>
        </w:rPr>
      </w:pPr>
      <w:r w:rsidRPr="00CE1747">
        <w:rPr>
          <w:szCs w:val="24"/>
          <w:lang w:eastAsia="en-GB"/>
        </w:rPr>
        <w:t>(Paragraph 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7</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18.</w:t>
      </w:r>
      <w:r>
        <w:rPr>
          <w:rFonts w:cs="Arial"/>
        </w:rPr>
        <w:tab/>
      </w:r>
      <w:r w:rsidRPr="00CE1747">
        <w:rPr>
          <w:szCs w:val="22"/>
        </w:rPr>
        <w:t>Do consultees agree that every period in a notice to quit for commercial leases should be calculated by reference only to the period intervening between the date of the giving of the notice and the date on which it is to take effect?</w:t>
      </w:r>
    </w:p>
    <w:p w:rsidR="00CE1747" w:rsidRPr="00CE1747" w:rsidRDefault="00CE1747" w:rsidP="00CE1747">
      <w:pPr>
        <w:spacing w:line="240" w:lineRule="atLeast"/>
        <w:jc w:val="right"/>
        <w:rPr>
          <w:szCs w:val="24"/>
          <w:lang w:eastAsia="en-GB"/>
        </w:rPr>
      </w:pPr>
      <w:r w:rsidRPr="00CE1747">
        <w:rPr>
          <w:szCs w:val="24"/>
          <w:lang w:eastAsia="en-GB"/>
        </w:rPr>
        <w:t>(Paragraph 4.22)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lastRenderedPageBreak/>
              <w:t>Comments on Proposal 1</w:t>
            </w:r>
            <w:r>
              <w:rPr>
                <w:rFonts w:cs="Arial"/>
                <w:b/>
              </w:rPr>
              <w:t>8</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19.</w:t>
      </w:r>
      <w:r>
        <w:rPr>
          <w:rFonts w:cs="Arial"/>
        </w:rPr>
        <w:tab/>
      </w:r>
      <w:r w:rsidRPr="00CE1747">
        <w:rPr>
          <w:szCs w:val="22"/>
        </w:rPr>
        <w:t>Do consultees consider that it is necessary to have a statutory statement to the effect that any notice period will be construed as a period of clear days?</w:t>
      </w:r>
    </w:p>
    <w:p w:rsidR="00CE1747" w:rsidRPr="00CE1747" w:rsidRDefault="00CE1747" w:rsidP="00CE1747">
      <w:pPr>
        <w:spacing w:line="240" w:lineRule="atLeast"/>
        <w:jc w:val="right"/>
        <w:rPr>
          <w:szCs w:val="24"/>
          <w:lang w:eastAsia="en-GB"/>
        </w:rPr>
      </w:pPr>
      <w:r w:rsidRPr="00CE1747">
        <w:rPr>
          <w:szCs w:val="24"/>
          <w:lang w:eastAsia="en-GB"/>
        </w:rPr>
        <w:t>(Paragraph 4.23)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Comments on Proposal 1</w:t>
            </w:r>
            <w:r>
              <w:rPr>
                <w:rFonts w:cs="Arial"/>
                <w:b/>
              </w:rPr>
              <w:t>9</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Pr>
          <w:rFonts w:cs="Arial"/>
        </w:rPr>
        <w:t>20.</w:t>
      </w:r>
      <w:r>
        <w:rPr>
          <w:rFonts w:cs="Arial"/>
        </w:rPr>
        <w:tab/>
      </w:r>
      <w:r w:rsidRPr="00CE1747">
        <w:rPr>
          <w:szCs w:val="22"/>
        </w:rPr>
        <w:t>In the context of the rules for giving notice, do consultees consider that it is appropriate to differentiate between leases of one year or more and those of less than one year?</w:t>
      </w:r>
    </w:p>
    <w:p w:rsidR="00CE1747" w:rsidRPr="00CE1747" w:rsidRDefault="00CE1747" w:rsidP="00CE1747">
      <w:pPr>
        <w:spacing w:line="240" w:lineRule="atLeast"/>
        <w:jc w:val="right"/>
        <w:rPr>
          <w:szCs w:val="24"/>
          <w:lang w:eastAsia="en-GB"/>
        </w:rPr>
      </w:pPr>
      <w:r w:rsidRPr="00CE1747">
        <w:rPr>
          <w:szCs w:val="24"/>
          <w:lang w:eastAsia="en-GB"/>
        </w:rPr>
        <w:t>(Paragraph 4.26)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20</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21.</w:t>
      </w:r>
      <w:r w:rsidRPr="00CE1747">
        <w:rPr>
          <w:szCs w:val="22"/>
        </w:rPr>
        <w:tab/>
        <w:t>Would consultees prefer the differentiation to be at a different juncture, for example at the end of two or even three years?</w:t>
      </w:r>
    </w:p>
    <w:p w:rsidR="00CE1747" w:rsidRPr="00CE1747" w:rsidRDefault="00CE1747" w:rsidP="00CE1747">
      <w:pPr>
        <w:spacing w:line="240" w:lineRule="atLeast"/>
        <w:jc w:val="right"/>
        <w:rPr>
          <w:szCs w:val="24"/>
          <w:lang w:eastAsia="en-GB"/>
        </w:rPr>
      </w:pPr>
      <w:r w:rsidRPr="00CE1747">
        <w:rPr>
          <w:szCs w:val="24"/>
          <w:lang w:eastAsia="en-GB"/>
        </w:rPr>
        <w:t>(paragraph 4.26)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21</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22.</w:t>
      </w:r>
      <w:r w:rsidRPr="00CE1747">
        <w:rPr>
          <w:szCs w:val="22"/>
        </w:rPr>
        <w:tab/>
        <w:t>Do consultees consider that the same rules should apply irrespective of the extent of the property concerned?</w:t>
      </w:r>
    </w:p>
    <w:p w:rsidR="00CE1747" w:rsidRPr="00CE1747" w:rsidRDefault="00CE1747" w:rsidP="00CE1747">
      <w:pPr>
        <w:spacing w:line="240" w:lineRule="atLeast"/>
        <w:jc w:val="right"/>
        <w:rPr>
          <w:szCs w:val="24"/>
          <w:lang w:eastAsia="en-GB"/>
        </w:rPr>
      </w:pPr>
      <w:r w:rsidRPr="00CE1747">
        <w:rPr>
          <w:szCs w:val="24"/>
          <w:lang w:eastAsia="en-GB"/>
        </w:rPr>
        <w:t>(Paragraph 4.27)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22</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23.</w:t>
      </w:r>
      <w:r w:rsidRPr="00CE1747">
        <w:rPr>
          <w:szCs w:val="22"/>
        </w:rPr>
        <w:tab/>
        <w:t>Do consultees favour notices to quit which would apply to all commercial leases irrespective of the size and type of property and irrespective of the duration of the lease?</w:t>
      </w:r>
    </w:p>
    <w:p w:rsidR="00CE1747" w:rsidRPr="00CE1747" w:rsidRDefault="00CE1747" w:rsidP="00CE1747">
      <w:pPr>
        <w:spacing w:line="240" w:lineRule="atLeast"/>
        <w:jc w:val="right"/>
        <w:rPr>
          <w:szCs w:val="24"/>
          <w:lang w:eastAsia="en-GB"/>
        </w:rPr>
      </w:pPr>
      <w:r w:rsidRPr="00CE1747">
        <w:rPr>
          <w:szCs w:val="24"/>
          <w:lang w:eastAsia="en-GB"/>
        </w:rPr>
        <w:lastRenderedPageBreak/>
        <w:t>(Paragraph 4.28)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23</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outlineLvl w:val="4"/>
        <w:rPr>
          <w:szCs w:val="22"/>
        </w:rPr>
      </w:pPr>
      <w:r w:rsidRPr="00CE1747">
        <w:rPr>
          <w:szCs w:val="22"/>
        </w:rPr>
        <w:t>24.</w:t>
      </w:r>
      <w:r w:rsidRPr="00CE1747">
        <w:rPr>
          <w:szCs w:val="22"/>
        </w:rPr>
        <w:tab/>
        <w:t>If there are to be provisions which apply equally to all commercial leases:</w:t>
      </w:r>
    </w:p>
    <w:p w:rsidR="00CE1747" w:rsidRPr="00CE1747" w:rsidRDefault="00CE1747" w:rsidP="00CE1747">
      <w:pPr>
        <w:tabs>
          <w:tab w:val="clear" w:pos="720"/>
          <w:tab w:val="clear" w:pos="2160"/>
          <w:tab w:val="clear" w:pos="2880"/>
          <w:tab w:val="clear" w:pos="4680"/>
          <w:tab w:val="clear" w:pos="5400"/>
          <w:tab w:val="clear" w:pos="9000"/>
          <w:tab w:val="left" w:pos="0"/>
        </w:tabs>
        <w:ind w:left="709"/>
        <w:outlineLvl w:val="6"/>
        <w:rPr>
          <w:szCs w:val="22"/>
        </w:rPr>
      </w:pPr>
      <w:r w:rsidRPr="00CE1747">
        <w:rPr>
          <w:szCs w:val="22"/>
        </w:rPr>
        <w:t>(a)</w:t>
      </w:r>
      <w:r w:rsidRPr="00CE1747">
        <w:rPr>
          <w:szCs w:val="22"/>
        </w:rPr>
        <w:tab/>
        <w:t>what would be the preferred minimum default period for notice?</w:t>
      </w:r>
    </w:p>
    <w:p w:rsidR="00CE1747" w:rsidRPr="00CE1747" w:rsidRDefault="00CE1747" w:rsidP="00CE1747">
      <w:pPr>
        <w:tabs>
          <w:tab w:val="clear" w:pos="720"/>
          <w:tab w:val="clear" w:pos="2160"/>
          <w:tab w:val="clear" w:pos="2880"/>
          <w:tab w:val="clear" w:pos="4680"/>
          <w:tab w:val="clear" w:pos="5400"/>
          <w:tab w:val="clear" w:pos="9000"/>
          <w:tab w:val="left" w:pos="0"/>
        </w:tabs>
        <w:ind w:left="709"/>
        <w:outlineLvl w:val="6"/>
        <w:rPr>
          <w:szCs w:val="22"/>
        </w:rPr>
      </w:pPr>
      <w:r w:rsidRPr="00CE1747">
        <w:rPr>
          <w:szCs w:val="22"/>
        </w:rPr>
        <w:t>(b)</w:t>
      </w:r>
      <w:r w:rsidRPr="00CE1747">
        <w:rPr>
          <w:szCs w:val="22"/>
        </w:rPr>
        <w:tab/>
        <w:t>for leases with a duration of less than the default period, do consultees consider that the period of notice should be one half of the length of the lease or some other fraction thereof?</w:t>
      </w:r>
    </w:p>
    <w:p w:rsidR="00CE1747" w:rsidRPr="00CE1747" w:rsidRDefault="00CE1747" w:rsidP="00CE1747">
      <w:pPr>
        <w:spacing w:line="240" w:lineRule="atLeast"/>
        <w:jc w:val="right"/>
        <w:rPr>
          <w:szCs w:val="24"/>
          <w:lang w:eastAsia="en-GB"/>
        </w:rPr>
      </w:pPr>
      <w:r w:rsidRPr="00CE1747">
        <w:rPr>
          <w:szCs w:val="24"/>
          <w:lang w:eastAsia="en-GB"/>
        </w:rPr>
        <w:t>(Paragraph 4.28)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24</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25.</w:t>
      </w:r>
      <w:r w:rsidRPr="00CE1747">
        <w:rPr>
          <w:szCs w:val="22"/>
        </w:rPr>
        <w:tab/>
        <w:t>Do consultees consider that in cases where a date of termination is unknown, but the date of entry is known, there should be a statutory presumption to the effect that the lease is implied to be for a year, or do consultees consider that the existing common law presumption is sufficient?</w:t>
      </w:r>
    </w:p>
    <w:p w:rsidR="00CE1747" w:rsidRPr="00CE1747" w:rsidRDefault="00CE1747" w:rsidP="00CE1747">
      <w:pPr>
        <w:spacing w:line="240" w:lineRule="atLeast"/>
        <w:jc w:val="right"/>
        <w:rPr>
          <w:szCs w:val="24"/>
          <w:lang w:eastAsia="en-GB"/>
        </w:rPr>
      </w:pPr>
      <w:r w:rsidRPr="00CE1747">
        <w:rPr>
          <w:szCs w:val="24"/>
          <w:lang w:eastAsia="en-GB"/>
        </w:rPr>
        <w:t>(Paragraph 4.29)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25</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26.</w:t>
      </w:r>
      <w:r w:rsidRPr="00CE1747">
        <w:rPr>
          <w:szCs w:val="22"/>
        </w:rPr>
        <w:tab/>
        <w:t>Do consultees consider that in cases where the date of entry is unknown there should be a statutory presumption of 28 May as the date of entry, or some other date?</w:t>
      </w:r>
    </w:p>
    <w:p w:rsidR="00154836" w:rsidRPr="00CE1747" w:rsidRDefault="00CE1747" w:rsidP="00CE1747">
      <w:pPr>
        <w:spacing w:line="240" w:lineRule="atLeast"/>
        <w:jc w:val="right"/>
        <w:rPr>
          <w:szCs w:val="24"/>
          <w:lang w:eastAsia="en-GB"/>
        </w:rPr>
      </w:pPr>
      <w:r w:rsidRPr="00CE1747">
        <w:rPr>
          <w:szCs w:val="24"/>
          <w:lang w:eastAsia="en-GB"/>
        </w:rPr>
        <w:t>(Paragraph 4.29)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26</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27.</w:t>
      </w:r>
      <w:r w:rsidRPr="00CE1747">
        <w:rPr>
          <w:szCs w:val="22"/>
        </w:rPr>
        <w:tab/>
        <w:t>Do consultees consider that notices exercising an option to break a lease before its natural termination should be required to conform to the same default rules as notices to quit?</w:t>
      </w:r>
    </w:p>
    <w:p w:rsidR="00CE1747" w:rsidRPr="00CE1747" w:rsidRDefault="00CE1747" w:rsidP="00CE1747">
      <w:pPr>
        <w:spacing w:line="240" w:lineRule="atLeast"/>
        <w:jc w:val="right"/>
        <w:rPr>
          <w:szCs w:val="24"/>
          <w:lang w:eastAsia="en-GB"/>
        </w:rPr>
      </w:pPr>
      <w:r w:rsidRPr="00CE1747">
        <w:rPr>
          <w:szCs w:val="24"/>
          <w:lang w:eastAsia="en-GB"/>
        </w:rPr>
        <w:t>(Paragraph 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lastRenderedPageBreak/>
              <w:t xml:space="preserve">Comments on Proposal </w:t>
            </w:r>
            <w:r>
              <w:rPr>
                <w:rFonts w:cs="Arial"/>
                <w:b/>
              </w:rPr>
              <w:t>27</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CE1747" w:rsidRPr="00CE1747" w:rsidRDefault="00CE1747" w:rsidP="00CE1747">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CE1747">
        <w:rPr>
          <w:szCs w:val="22"/>
        </w:rPr>
        <w:t>28.</w:t>
      </w:r>
      <w:r w:rsidRPr="00CE1747">
        <w:rPr>
          <w:szCs w:val="22"/>
        </w:rPr>
        <w:tab/>
        <w:t>Do consultees consider it necessary for there to be a statutory statement to the effect that a notice to quit may only be withdrawn with the consent of both parties?</w:t>
      </w:r>
    </w:p>
    <w:p w:rsidR="00CE1747" w:rsidRPr="00CE1747" w:rsidRDefault="00CE1747" w:rsidP="00CE1747">
      <w:pPr>
        <w:spacing w:line="240" w:lineRule="atLeast"/>
        <w:jc w:val="right"/>
        <w:rPr>
          <w:szCs w:val="24"/>
          <w:lang w:eastAsia="en-GB"/>
        </w:rPr>
      </w:pPr>
      <w:r w:rsidRPr="00CE1747">
        <w:rPr>
          <w:szCs w:val="24"/>
          <w:lang w:eastAsia="en-GB"/>
        </w:rPr>
        <w:t>(Paragraph 4.31)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28</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29.</w:t>
      </w:r>
      <w:r w:rsidRPr="00253CDB">
        <w:rPr>
          <w:szCs w:val="22"/>
        </w:rPr>
        <w:tab/>
        <w:t>Do consultees consider that parties should be entitled to contract out of the provisions to agree a longer period of notice?</w:t>
      </w:r>
    </w:p>
    <w:p w:rsidR="00253CDB" w:rsidRPr="00253CDB" w:rsidRDefault="00253CDB" w:rsidP="00253CDB">
      <w:pPr>
        <w:spacing w:line="240" w:lineRule="atLeast"/>
        <w:jc w:val="right"/>
        <w:rPr>
          <w:szCs w:val="24"/>
          <w:lang w:eastAsia="en-GB"/>
        </w:rPr>
      </w:pPr>
      <w:r w:rsidRPr="00253CDB">
        <w:rPr>
          <w:szCs w:val="24"/>
          <w:lang w:eastAsia="en-GB"/>
        </w:rPr>
        <w:t>(Paragraph 4.35)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29</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30.</w:t>
      </w:r>
      <w:r w:rsidRPr="00253CDB">
        <w:rPr>
          <w:szCs w:val="22"/>
        </w:rPr>
        <w:tab/>
        <w:t>Do consultees agree that parties should be able to contract out of the provisions to agree a shorter period of notice?</w:t>
      </w:r>
    </w:p>
    <w:p w:rsidR="00253CDB" w:rsidRPr="00253CDB" w:rsidRDefault="00253CDB" w:rsidP="00253CDB">
      <w:pPr>
        <w:spacing w:line="240" w:lineRule="atLeast"/>
        <w:jc w:val="right"/>
        <w:rPr>
          <w:szCs w:val="24"/>
          <w:lang w:eastAsia="en-GB"/>
        </w:rPr>
      </w:pPr>
      <w:r w:rsidRPr="00253CDB">
        <w:rPr>
          <w:szCs w:val="24"/>
          <w:lang w:eastAsia="en-GB"/>
        </w:rPr>
        <w:t>(Paragraph 4.35)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30</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31.</w:t>
      </w:r>
      <w:r w:rsidRPr="00253CDB">
        <w:rPr>
          <w:szCs w:val="22"/>
        </w:rPr>
        <w:tab/>
        <w:t>Do consultees consider that any contracting out of the provisions to agree a shorter period should only be permitted after the commencement of the lease and after the tenant has taken possession of the leased property?</w:t>
      </w:r>
    </w:p>
    <w:p w:rsidR="00253CDB" w:rsidRPr="00253CDB" w:rsidRDefault="00253CDB" w:rsidP="00253CDB">
      <w:pPr>
        <w:spacing w:line="240" w:lineRule="atLeast"/>
        <w:jc w:val="right"/>
        <w:rPr>
          <w:szCs w:val="24"/>
          <w:lang w:eastAsia="en-GB"/>
        </w:rPr>
      </w:pPr>
      <w:r w:rsidRPr="00253CDB">
        <w:rPr>
          <w:szCs w:val="24"/>
          <w:lang w:eastAsia="en-GB"/>
        </w:rPr>
        <w:t>(Paragraph 4.35)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31</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outlineLvl w:val="4"/>
        <w:rPr>
          <w:szCs w:val="22"/>
        </w:rPr>
      </w:pPr>
      <w:r w:rsidRPr="00253CDB">
        <w:rPr>
          <w:szCs w:val="22"/>
        </w:rPr>
        <w:t>32.</w:t>
      </w:r>
      <w:r w:rsidRPr="00253CDB">
        <w:rPr>
          <w:szCs w:val="22"/>
        </w:rPr>
        <w:tab/>
        <w:t>Do consultees agree that contracting out agreements should always be in writing?</w:t>
      </w:r>
    </w:p>
    <w:p w:rsidR="00253CDB" w:rsidRPr="00253CDB" w:rsidRDefault="00253CDB" w:rsidP="00253CDB">
      <w:pPr>
        <w:spacing w:line="240" w:lineRule="atLeast"/>
        <w:jc w:val="right"/>
        <w:rPr>
          <w:szCs w:val="24"/>
          <w:lang w:eastAsia="en-GB"/>
        </w:rPr>
      </w:pPr>
      <w:r w:rsidRPr="00253CDB">
        <w:rPr>
          <w:szCs w:val="24"/>
          <w:lang w:eastAsia="en-GB"/>
        </w:rPr>
        <w:lastRenderedPageBreak/>
        <w:t>(Paragraph 4.35)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32</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33.</w:t>
      </w:r>
      <w:r w:rsidRPr="00253CDB">
        <w:rPr>
          <w:szCs w:val="22"/>
        </w:rPr>
        <w:tab/>
        <w:t>Are consultees aware of any problems with service of notices in commercial leases in situations with multiple tenants or multiple landlords that might require the provision of specific legal rules?</w:t>
      </w:r>
    </w:p>
    <w:p w:rsidR="00253CDB" w:rsidRPr="00253CDB" w:rsidRDefault="00253CDB" w:rsidP="00253CDB">
      <w:pPr>
        <w:spacing w:line="240" w:lineRule="atLeast"/>
        <w:jc w:val="right"/>
        <w:rPr>
          <w:szCs w:val="24"/>
          <w:lang w:eastAsia="en-GB"/>
        </w:rPr>
      </w:pPr>
      <w:r w:rsidRPr="00253CDB">
        <w:rPr>
          <w:szCs w:val="24"/>
          <w:lang w:eastAsia="en-GB"/>
        </w:rPr>
        <w:t>(Paragraph 4.37)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33</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34.</w:t>
      </w:r>
      <w:r w:rsidRPr="00253CDB">
        <w:rPr>
          <w:szCs w:val="22"/>
        </w:rPr>
        <w:tab/>
        <w:t>Are consultees aware of concerns with service of notices on sub-tenants that might require the provision of specific legal rules?</w:t>
      </w:r>
    </w:p>
    <w:p w:rsidR="00253CDB" w:rsidRPr="00253CDB" w:rsidRDefault="00253CDB" w:rsidP="00253CDB">
      <w:pPr>
        <w:spacing w:line="240" w:lineRule="atLeast"/>
        <w:jc w:val="right"/>
        <w:rPr>
          <w:szCs w:val="24"/>
          <w:lang w:eastAsia="en-GB"/>
        </w:rPr>
      </w:pPr>
      <w:r w:rsidRPr="00253CDB">
        <w:rPr>
          <w:szCs w:val="24"/>
          <w:lang w:eastAsia="en-GB"/>
        </w:rPr>
        <w:t>(Paragraph 4.38)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34</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35.</w:t>
      </w:r>
      <w:r w:rsidRPr="00253CDB">
        <w:rPr>
          <w:szCs w:val="22"/>
        </w:rPr>
        <w:tab/>
        <w:t>Do consultees consider that the service of notices to quit should be governed by the 2010 Act?</w:t>
      </w:r>
    </w:p>
    <w:p w:rsidR="00253CDB" w:rsidRPr="00253CDB" w:rsidRDefault="00253CDB" w:rsidP="00253CDB">
      <w:pPr>
        <w:spacing w:line="240" w:lineRule="atLeast"/>
        <w:jc w:val="right"/>
        <w:rPr>
          <w:szCs w:val="24"/>
          <w:lang w:eastAsia="en-GB"/>
        </w:rPr>
      </w:pPr>
      <w:r w:rsidRPr="00253CDB">
        <w:rPr>
          <w:szCs w:val="24"/>
          <w:lang w:eastAsia="en-GB"/>
        </w:rPr>
        <w:t>(paragraph 4.39)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35</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36.</w:t>
      </w:r>
      <w:r w:rsidRPr="00253CDB">
        <w:rPr>
          <w:szCs w:val="22"/>
        </w:rPr>
        <w:tab/>
        <w:t>Do consultees consider that notices should be capable of being served in any other ways?</w:t>
      </w:r>
    </w:p>
    <w:p w:rsidR="00253CDB" w:rsidRPr="00253CDB" w:rsidRDefault="00253CDB" w:rsidP="00253CDB">
      <w:pPr>
        <w:spacing w:line="240" w:lineRule="atLeast"/>
        <w:jc w:val="right"/>
        <w:rPr>
          <w:szCs w:val="24"/>
          <w:lang w:eastAsia="en-GB"/>
        </w:rPr>
      </w:pPr>
      <w:r w:rsidRPr="00253CDB">
        <w:rPr>
          <w:szCs w:val="24"/>
          <w:lang w:eastAsia="en-GB"/>
        </w:rPr>
        <w:t>(Paragraph 4.39)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36</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 w:val="20"/>
          <w:szCs w:val="22"/>
        </w:rPr>
        <w:lastRenderedPageBreak/>
        <w:t>37.</w:t>
      </w:r>
      <w:r w:rsidRPr="00253CDB">
        <w:rPr>
          <w:sz w:val="20"/>
          <w:szCs w:val="22"/>
        </w:rPr>
        <w:tab/>
      </w:r>
      <w:r w:rsidRPr="00253CDB">
        <w:rPr>
          <w:szCs w:val="22"/>
        </w:rPr>
        <w:t xml:space="preserve">Do consultees agree that, unless provided for in the terms of the lease, Scots law does not provide for the recovery of rent paid in advance in circumstances where the lease is terminated early? </w:t>
      </w:r>
    </w:p>
    <w:p w:rsidR="00253CDB" w:rsidRPr="00253CDB" w:rsidRDefault="00253CDB" w:rsidP="00253CDB">
      <w:pPr>
        <w:spacing w:line="240" w:lineRule="atLeast"/>
        <w:jc w:val="right"/>
        <w:rPr>
          <w:szCs w:val="24"/>
          <w:lang w:eastAsia="en-GB"/>
        </w:rPr>
      </w:pPr>
      <w:r w:rsidRPr="00253CDB">
        <w:rPr>
          <w:szCs w:val="24"/>
          <w:lang w:eastAsia="en-GB"/>
        </w:rPr>
        <w:t>(Paragraph 5.26)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37</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38.</w:t>
      </w:r>
      <w:r w:rsidRPr="00253CDB">
        <w:rPr>
          <w:szCs w:val="22"/>
        </w:rPr>
        <w:tab/>
        <w:t>Do consultees think that an amendment to the 1870 Act to address the situation identified above would be desirable?</w:t>
      </w:r>
    </w:p>
    <w:p w:rsidR="00253CDB" w:rsidRPr="00253CDB" w:rsidRDefault="00253CDB" w:rsidP="00253CDB">
      <w:pPr>
        <w:spacing w:line="240" w:lineRule="atLeast"/>
        <w:jc w:val="right"/>
        <w:rPr>
          <w:szCs w:val="24"/>
          <w:lang w:eastAsia="en-GB"/>
        </w:rPr>
      </w:pPr>
      <w:r w:rsidRPr="00253CDB">
        <w:rPr>
          <w:szCs w:val="24"/>
          <w:lang w:eastAsia="en-GB"/>
        </w:rPr>
        <w:t>(Paragraph 5.29)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38</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39.</w:t>
      </w:r>
      <w:r w:rsidRPr="00253CDB">
        <w:rPr>
          <w:szCs w:val="22"/>
        </w:rPr>
        <w:tab/>
        <w:t xml:space="preserve">If consultees think that an amendment would be desirable, do consultees have views on whether it would be desirable for the law of Scotland in this respect to differ from the rest of the United Kingdom? </w:t>
      </w:r>
    </w:p>
    <w:p w:rsidR="00253CDB" w:rsidRPr="00253CDB" w:rsidRDefault="00253CDB" w:rsidP="00253CDB">
      <w:pPr>
        <w:spacing w:line="240" w:lineRule="atLeast"/>
        <w:jc w:val="right"/>
        <w:rPr>
          <w:szCs w:val="24"/>
          <w:lang w:eastAsia="en-GB"/>
        </w:rPr>
      </w:pPr>
      <w:r w:rsidRPr="00253CDB">
        <w:rPr>
          <w:szCs w:val="24"/>
          <w:lang w:eastAsia="en-GB"/>
        </w:rPr>
        <w:t>(Paragraph 5.29)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39</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outlineLvl w:val="4"/>
        <w:rPr>
          <w:szCs w:val="22"/>
        </w:rPr>
      </w:pPr>
      <w:r w:rsidRPr="00253CDB">
        <w:rPr>
          <w:szCs w:val="22"/>
        </w:rPr>
        <w:t>40.</w:t>
      </w:r>
      <w:r w:rsidRPr="00253CDB">
        <w:rPr>
          <w:szCs w:val="22"/>
        </w:rPr>
        <w:tab/>
        <w:t xml:space="preserve">Should the Tenancy of Shops (Scotland) Act 1949 be repealed? </w:t>
      </w:r>
    </w:p>
    <w:p w:rsidR="00253CDB" w:rsidRPr="00253CDB" w:rsidRDefault="00253CDB" w:rsidP="00253CDB">
      <w:pPr>
        <w:spacing w:line="240" w:lineRule="atLeast"/>
        <w:jc w:val="right"/>
        <w:rPr>
          <w:szCs w:val="24"/>
          <w:lang w:eastAsia="en-GB"/>
        </w:rPr>
      </w:pPr>
      <w:r w:rsidRPr="00253CDB">
        <w:rPr>
          <w:szCs w:val="24"/>
          <w:lang w:eastAsia="en-GB"/>
        </w:rPr>
        <w:t>(Paragraph 6.28)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40</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outlineLvl w:val="4"/>
        <w:rPr>
          <w:szCs w:val="22"/>
        </w:rPr>
      </w:pPr>
      <w:r w:rsidRPr="00253CDB">
        <w:rPr>
          <w:szCs w:val="22"/>
        </w:rPr>
        <w:t>41.</w:t>
      </w:r>
      <w:r w:rsidRPr="00253CDB">
        <w:rPr>
          <w:szCs w:val="22"/>
        </w:rPr>
        <w:tab/>
        <w:t>Does the law of irritancy currently require reform?</w:t>
      </w:r>
    </w:p>
    <w:p w:rsidR="00253CDB" w:rsidRPr="00253CDB" w:rsidRDefault="00253CDB" w:rsidP="00253CDB">
      <w:pPr>
        <w:spacing w:line="240" w:lineRule="atLeast"/>
        <w:jc w:val="right"/>
        <w:rPr>
          <w:szCs w:val="24"/>
          <w:lang w:eastAsia="en-GB"/>
        </w:rPr>
      </w:pPr>
      <w:r w:rsidRPr="00253CDB">
        <w:rPr>
          <w:szCs w:val="24"/>
          <w:lang w:eastAsia="en-GB"/>
        </w:rPr>
        <w:t>(Paragraph 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41</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outlineLvl w:val="4"/>
        <w:rPr>
          <w:szCs w:val="22"/>
        </w:rPr>
      </w:pPr>
      <w:r w:rsidRPr="00253CDB">
        <w:rPr>
          <w:szCs w:val="22"/>
        </w:rPr>
        <w:t>42.</w:t>
      </w:r>
      <w:r w:rsidRPr="00253CDB">
        <w:rPr>
          <w:szCs w:val="22"/>
        </w:rPr>
        <w:tab/>
        <w:t>If it does, what aspects of the law do consultees consider to be in need of reform?</w:t>
      </w:r>
    </w:p>
    <w:p w:rsidR="00253CDB" w:rsidRPr="00253CDB" w:rsidRDefault="00253CDB" w:rsidP="00253CDB">
      <w:pPr>
        <w:spacing w:line="240" w:lineRule="atLeast"/>
        <w:jc w:val="right"/>
        <w:rPr>
          <w:szCs w:val="24"/>
          <w:lang w:eastAsia="en-GB"/>
        </w:rPr>
      </w:pPr>
      <w:r w:rsidRPr="00253CDB">
        <w:rPr>
          <w:szCs w:val="24"/>
          <w:lang w:eastAsia="en-GB"/>
        </w:rPr>
        <w:t>(Paragraph 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42</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43.</w:t>
      </w:r>
      <w:r w:rsidRPr="00253CDB">
        <w:rPr>
          <w:szCs w:val="22"/>
        </w:rPr>
        <w:tab/>
        <w:t xml:space="preserve">Do consultees agree that a clear statement of the law in respect of </w:t>
      </w:r>
      <w:proofErr w:type="spellStart"/>
      <w:r w:rsidRPr="00253CDB">
        <w:rPr>
          <w:i/>
          <w:szCs w:val="22"/>
        </w:rPr>
        <w:t>confusio</w:t>
      </w:r>
      <w:proofErr w:type="spellEnd"/>
      <w:r w:rsidRPr="00253CDB">
        <w:rPr>
          <w:i/>
          <w:szCs w:val="22"/>
        </w:rPr>
        <w:t xml:space="preserve"> </w:t>
      </w:r>
      <w:r w:rsidRPr="00253CDB">
        <w:rPr>
          <w:szCs w:val="22"/>
        </w:rPr>
        <w:t>and leases</w:t>
      </w:r>
      <w:r w:rsidRPr="00253CDB">
        <w:rPr>
          <w:i/>
          <w:szCs w:val="22"/>
        </w:rPr>
        <w:t xml:space="preserve"> </w:t>
      </w:r>
      <w:r w:rsidRPr="00253CDB">
        <w:rPr>
          <w:szCs w:val="22"/>
        </w:rPr>
        <w:t>is required?</w:t>
      </w: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jc w:val="right"/>
        <w:outlineLvl w:val="4"/>
        <w:rPr>
          <w:szCs w:val="22"/>
        </w:rPr>
      </w:pPr>
      <w:r w:rsidRPr="00253CDB">
        <w:rPr>
          <w:szCs w:val="22"/>
        </w:rPr>
        <w:t>(Paragraph 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43</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rsidP="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44.</w:t>
      </w:r>
      <w:r w:rsidRPr="00253CDB">
        <w:rPr>
          <w:szCs w:val="22"/>
        </w:rPr>
        <w:tab/>
        <w:t>If consultees agree that a clear statement of the law is required, do consultees consider that a positive action showing the intent of the parties, such as registration of a minute, should be required before the interest of landlord and tenant are consolidated?</w:t>
      </w:r>
    </w:p>
    <w:p w:rsidR="00253CDB" w:rsidRPr="00253CDB" w:rsidRDefault="00253CDB" w:rsidP="00253CDB">
      <w:pPr>
        <w:spacing w:line="240" w:lineRule="atLeast"/>
        <w:jc w:val="right"/>
        <w:rPr>
          <w:szCs w:val="24"/>
          <w:lang w:eastAsia="en-GB"/>
        </w:rPr>
      </w:pPr>
      <w:r w:rsidRPr="00253CDB">
        <w:rPr>
          <w:szCs w:val="24"/>
          <w:lang w:eastAsia="en-GB"/>
        </w:rPr>
        <w:t>(Paragraph 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54836" w:rsidRPr="001721D7" w:rsidTr="00C2727A">
        <w:tc>
          <w:tcPr>
            <w:tcW w:w="9245" w:type="dxa"/>
          </w:tcPr>
          <w:p w:rsidR="00154836" w:rsidRPr="001721D7" w:rsidRDefault="00154836" w:rsidP="00C2727A">
            <w:pPr>
              <w:rPr>
                <w:rFonts w:cs="Arial"/>
              </w:rPr>
            </w:pPr>
            <w:r w:rsidRPr="001721D7">
              <w:rPr>
                <w:rFonts w:cs="Arial"/>
                <w:b/>
              </w:rPr>
              <w:t xml:space="preserve">Comments on Proposal </w:t>
            </w:r>
            <w:r>
              <w:rPr>
                <w:rFonts w:cs="Arial"/>
                <w:b/>
              </w:rPr>
              <w:t>44</w:t>
            </w:r>
          </w:p>
          <w:p w:rsidR="00154836" w:rsidRPr="001721D7" w:rsidRDefault="00154836"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54836" w:rsidRDefault="00154836">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45.</w:t>
      </w:r>
      <w:r w:rsidRPr="00253CDB">
        <w:rPr>
          <w:szCs w:val="22"/>
        </w:rPr>
        <w:tab/>
        <w:t>Are there any other aspects relating to the termination of commercial leases in Scotland, as discussed in this Paper, to which consultees would wish to draw our attention?</w:t>
      </w:r>
    </w:p>
    <w:p w:rsidR="006901C3" w:rsidRPr="001721D7" w:rsidRDefault="006901C3" w:rsidP="006901C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901C3" w:rsidRPr="001721D7" w:rsidTr="00C2727A">
        <w:tc>
          <w:tcPr>
            <w:tcW w:w="9245" w:type="dxa"/>
          </w:tcPr>
          <w:p w:rsidR="006901C3" w:rsidRPr="001721D7" w:rsidRDefault="006901C3" w:rsidP="00C2727A">
            <w:pPr>
              <w:rPr>
                <w:rFonts w:cs="Arial"/>
              </w:rPr>
            </w:pPr>
            <w:r w:rsidRPr="001721D7">
              <w:rPr>
                <w:rFonts w:cs="Arial"/>
                <w:b/>
              </w:rPr>
              <w:t xml:space="preserve">Comments on Proposal </w:t>
            </w:r>
            <w:r>
              <w:rPr>
                <w:rFonts w:cs="Arial"/>
                <w:b/>
              </w:rPr>
              <w:t>45</w:t>
            </w:r>
          </w:p>
          <w:p w:rsidR="006901C3" w:rsidRPr="001721D7" w:rsidRDefault="006901C3"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901C3" w:rsidRDefault="006901C3">
      <w:pPr>
        <w:rPr>
          <w:rFonts w:cs="Arial"/>
        </w:rPr>
      </w:pPr>
    </w:p>
    <w:p w:rsidR="00253CDB" w:rsidRPr="00253CDB" w:rsidRDefault="00253CDB" w:rsidP="00253CDB">
      <w:pPr>
        <w:tabs>
          <w:tab w:val="clear" w:pos="720"/>
          <w:tab w:val="clear" w:pos="1440"/>
          <w:tab w:val="clear" w:pos="2160"/>
          <w:tab w:val="clear" w:pos="2880"/>
          <w:tab w:val="clear" w:pos="4680"/>
          <w:tab w:val="clear" w:pos="5400"/>
          <w:tab w:val="clear" w:pos="9000"/>
          <w:tab w:val="left" w:pos="0"/>
        </w:tabs>
        <w:ind w:left="720" w:hanging="720"/>
        <w:outlineLvl w:val="4"/>
        <w:rPr>
          <w:szCs w:val="22"/>
        </w:rPr>
      </w:pPr>
      <w:r w:rsidRPr="00253CDB">
        <w:rPr>
          <w:szCs w:val="22"/>
        </w:rPr>
        <w:t>46.</w:t>
      </w:r>
      <w:r w:rsidRPr="00253CDB">
        <w:rPr>
          <w:szCs w:val="22"/>
        </w:rPr>
        <w:tab/>
        <w:t>Do consultees have any comments on the possible economic impact of any of the changes discussed in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901C3" w:rsidRPr="001721D7" w:rsidTr="00C2727A">
        <w:tc>
          <w:tcPr>
            <w:tcW w:w="9245" w:type="dxa"/>
          </w:tcPr>
          <w:p w:rsidR="006901C3" w:rsidRPr="001721D7" w:rsidRDefault="006901C3" w:rsidP="00C2727A">
            <w:pPr>
              <w:rPr>
                <w:rFonts w:cs="Arial"/>
              </w:rPr>
            </w:pPr>
            <w:r w:rsidRPr="001721D7">
              <w:rPr>
                <w:rFonts w:cs="Arial"/>
                <w:b/>
              </w:rPr>
              <w:lastRenderedPageBreak/>
              <w:t xml:space="preserve">Comments on Proposal </w:t>
            </w:r>
            <w:r>
              <w:rPr>
                <w:rFonts w:cs="Arial"/>
                <w:b/>
              </w:rPr>
              <w:t>46</w:t>
            </w:r>
          </w:p>
          <w:p w:rsidR="006901C3" w:rsidRPr="001721D7" w:rsidRDefault="006901C3" w:rsidP="00C2727A">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901C3" w:rsidRPr="001721D7" w:rsidRDefault="006901C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6743E">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rsidSect="00CE1747">
      <w:footerReference w:type="even" r:id="rId12"/>
      <w:footerReference w:type="default" r:id="rId13"/>
      <w:pgSz w:w="11909" w:h="16834"/>
      <w:pgMar w:top="1440" w:right="1440" w:bottom="1440" w:left="1276"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3E" w:rsidRDefault="00F6743E">
      <w:r>
        <w:separator/>
      </w:r>
    </w:p>
  </w:endnote>
  <w:endnote w:type="continuationSeparator" w:id="0">
    <w:p w:rsidR="00F6743E" w:rsidRDefault="00F6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5A70">
      <w:rPr>
        <w:rStyle w:val="PageNumber"/>
        <w:noProof/>
      </w:rPr>
      <w:t>1</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3E" w:rsidRDefault="00F6743E">
      <w:r>
        <w:separator/>
      </w:r>
    </w:p>
  </w:footnote>
  <w:footnote w:type="continuationSeparator" w:id="0">
    <w:p w:rsidR="00F6743E" w:rsidRDefault="00F67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1C17144"/>
    <w:multiLevelType w:val="singleLevel"/>
    <w:tmpl w:val="C91AA670"/>
    <w:lvl w:ilvl="0">
      <w:start w:val="1"/>
      <w:numFmt w:val="lowerLetter"/>
      <w:lvlText w:val="%1."/>
      <w:legacy w:legacy="1" w:legacySpace="288" w:legacyIndent="720"/>
      <w:lvlJc w:val="left"/>
    </w:lvl>
  </w:abstractNum>
  <w:abstractNum w:abstractNumId="2">
    <w:nsid w:val="05DD137E"/>
    <w:multiLevelType w:val="singleLevel"/>
    <w:tmpl w:val="C91AA670"/>
    <w:lvl w:ilvl="0">
      <w:start w:val="1"/>
      <w:numFmt w:val="lowerLetter"/>
      <w:lvlText w:val="%1."/>
      <w:legacy w:legacy="1" w:legacySpace="288" w:legacyIndent="720"/>
      <w:lvlJc w:val="left"/>
    </w:lvl>
  </w:abstractNum>
  <w:abstractNum w:abstractNumId="3">
    <w:nsid w:val="0D9700E8"/>
    <w:multiLevelType w:val="singleLevel"/>
    <w:tmpl w:val="C91AA670"/>
    <w:lvl w:ilvl="0">
      <w:start w:val="1"/>
      <w:numFmt w:val="lowerLetter"/>
      <w:lvlText w:val="%1."/>
      <w:legacy w:legacy="1" w:legacySpace="288" w:legacyIndent="720"/>
      <w:lvlJc w:val="left"/>
    </w:lvl>
  </w:abstractNum>
  <w:abstractNum w:abstractNumId="4">
    <w:nsid w:val="108026DF"/>
    <w:multiLevelType w:val="singleLevel"/>
    <w:tmpl w:val="C91AA670"/>
    <w:lvl w:ilvl="0">
      <w:start w:val="1"/>
      <w:numFmt w:val="lowerLetter"/>
      <w:lvlText w:val="%1."/>
      <w:legacy w:legacy="1" w:legacySpace="288" w:legacyIndent="720"/>
      <w:lvlJc w:val="left"/>
    </w:lvl>
  </w:abstractNum>
  <w:abstractNum w:abstractNumId="5">
    <w:nsid w:val="141345CA"/>
    <w:multiLevelType w:val="hybridMultilevel"/>
    <w:tmpl w:val="220C6E30"/>
    <w:lvl w:ilvl="0" w:tplc="C08E88A4">
      <w:start w:val="1"/>
      <w:numFmt w:val="decimal"/>
      <w:pStyle w:val="Proprec"/>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5023502"/>
    <w:multiLevelType w:val="singleLevel"/>
    <w:tmpl w:val="C91AA670"/>
    <w:lvl w:ilvl="0">
      <w:start w:val="1"/>
      <w:numFmt w:val="lowerLetter"/>
      <w:lvlText w:val="%1."/>
      <w:legacy w:legacy="1" w:legacySpace="288" w:legacyIndent="720"/>
      <w:lvlJc w:val="left"/>
    </w:lvl>
  </w:abstractNum>
  <w:abstractNum w:abstractNumId="7">
    <w:nsid w:val="177176C4"/>
    <w:multiLevelType w:val="singleLevel"/>
    <w:tmpl w:val="C91AA670"/>
    <w:lvl w:ilvl="0">
      <w:start w:val="1"/>
      <w:numFmt w:val="lowerLetter"/>
      <w:lvlText w:val="%1."/>
      <w:legacy w:legacy="1" w:legacySpace="288" w:legacyIndent="720"/>
      <w:lvlJc w:val="left"/>
    </w:lvl>
  </w:abstractNum>
  <w:abstractNum w:abstractNumId="8">
    <w:nsid w:val="21A746B2"/>
    <w:multiLevelType w:val="singleLevel"/>
    <w:tmpl w:val="C91AA670"/>
    <w:lvl w:ilvl="0">
      <w:start w:val="1"/>
      <w:numFmt w:val="lowerLetter"/>
      <w:lvlText w:val="%1."/>
      <w:legacy w:legacy="1" w:legacySpace="288" w:legacyIndent="720"/>
      <w:lvlJc w:val="left"/>
    </w:lvl>
  </w:abstractNum>
  <w:abstractNum w:abstractNumId="9">
    <w:nsid w:val="27036B2C"/>
    <w:multiLevelType w:val="singleLevel"/>
    <w:tmpl w:val="C91AA670"/>
    <w:lvl w:ilvl="0">
      <w:start w:val="1"/>
      <w:numFmt w:val="lowerLetter"/>
      <w:lvlText w:val="%1."/>
      <w:legacy w:legacy="1" w:legacySpace="288" w:legacyIndent="720"/>
      <w:lvlJc w:val="left"/>
    </w:lvl>
  </w:abstractNum>
  <w:abstractNum w:abstractNumId="10">
    <w:nsid w:val="2E2A2B3E"/>
    <w:multiLevelType w:val="singleLevel"/>
    <w:tmpl w:val="C91AA670"/>
    <w:lvl w:ilvl="0">
      <w:start w:val="1"/>
      <w:numFmt w:val="lowerLetter"/>
      <w:lvlText w:val="%1."/>
      <w:legacy w:legacy="1" w:legacySpace="288" w:legacyIndent="720"/>
      <w:lvlJc w:val="left"/>
    </w:lvl>
  </w:abstractNum>
  <w:abstractNum w:abstractNumId="11">
    <w:nsid w:val="31276A2E"/>
    <w:multiLevelType w:val="singleLevel"/>
    <w:tmpl w:val="C91AA670"/>
    <w:lvl w:ilvl="0">
      <w:start w:val="1"/>
      <w:numFmt w:val="lowerLetter"/>
      <w:lvlText w:val="%1."/>
      <w:legacy w:legacy="1" w:legacySpace="288" w:legacyIndent="720"/>
      <w:lvlJc w:val="left"/>
    </w:lvl>
  </w:abstractNum>
  <w:abstractNum w:abstractNumId="12">
    <w:nsid w:val="348A4EC1"/>
    <w:multiLevelType w:val="singleLevel"/>
    <w:tmpl w:val="C91AA670"/>
    <w:lvl w:ilvl="0">
      <w:start w:val="1"/>
      <w:numFmt w:val="lowerLetter"/>
      <w:lvlText w:val="%1."/>
      <w:legacy w:legacy="1" w:legacySpace="288" w:legacyIndent="720"/>
      <w:lvlJc w:val="left"/>
    </w:lvl>
  </w:abstractNum>
  <w:abstractNum w:abstractNumId="13">
    <w:nsid w:val="35CD3F82"/>
    <w:multiLevelType w:val="singleLevel"/>
    <w:tmpl w:val="C91AA670"/>
    <w:lvl w:ilvl="0">
      <w:start w:val="1"/>
      <w:numFmt w:val="lowerLetter"/>
      <w:lvlText w:val="%1."/>
      <w:legacy w:legacy="1" w:legacySpace="288" w:legacyIndent="720"/>
      <w:lvlJc w:val="left"/>
    </w:lvl>
  </w:abstractNum>
  <w:abstractNum w:abstractNumId="14">
    <w:nsid w:val="3AFE5E18"/>
    <w:multiLevelType w:val="singleLevel"/>
    <w:tmpl w:val="C91AA670"/>
    <w:lvl w:ilvl="0">
      <w:start w:val="1"/>
      <w:numFmt w:val="lowerLetter"/>
      <w:lvlText w:val="%1."/>
      <w:legacy w:legacy="1" w:legacySpace="288" w:legacyIndent="720"/>
      <w:lvlJc w:val="left"/>
    </w:lvl>
  </w:abstractNum>
  <w:abstractNum w:abstractNumId="15">
    <w:nsid w:val="3B8B7F10"/>
    <w:multiLevelType w:val="singleLevel"/>
    <w:tmpl w:val="C91AA670"/>
    <w:lvl w:ilvl="0">
      <w:start w:val="1"/>
      <w:numFmt w:val="lowerLetter"/>
      <w:lvlText w:val="%1."/>
      <w:legacy w:legacy="1" w:legacySpace="288" w:legacyIndent="720"/>
      <w:lvlJc w:val="left"/>
    </w:lvl>
  </w:abstractNum>
  <w:abstractNum w:abstractNumId="16">
    <w:nsid w:val="3C8C7E7C"/>
    <w:multiLevelType w:val="singleLevel"/>
    <w:tmpl w:val="C91AA670"/>
    <w:lvl w:ilvl="0">
      <w:start w:val="1"/>
      <w:numFmt w:val="lowerLetter"/>
      <w:lvlText w:val="%1."/>
      <w:legacy w:legacy="1" w:legacySpace="288" w:legacyIndent="720"/>
      <w:lvlJc w:val="left"/>
    </w:lvl>
  </w:abstractNum>
  <w:abstractNum w:abstractNumId="17">
    <w:nsid w:val="42A876FF"/>
    <w:multiLevelType w:val="singleLevel"/>
    <w:tmpl w:val="C91AA670"/>
    <w:lvl w:ilvl="0">
      <w:start w:val="1"/>
      <w:numFmt w:val="lowerLetter"/>
      <w:lvlText w:val="%1."/>
      <w:legacy w:legacy="1" w:legacySpace="288" w:legacyIndent="720"/>
      <w:lvlJc w:val="left"/>
    </w:lvl>
  </w:abstractNum>
  <w:abstractNum w:abstractNumId="18">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9">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48DF6A39"/>
    <w:multiLevelType w:val="singleLevel"/>
    <w:tmpl w:val="C91AA670"/>
    <w:lvl w:ilvl="0">
      <w:start w:val="1"/>
      <w:numFmt w:val="lowerLetter"/>
      <w:lvlText w:val="%1."/>
      <w:legacy w:legacy="1" w:legacySpace="288" w:legacyIndent="720"/>
      <w:lvlJc w:val="left"/>
    </w:lvl>
  </w:abstractNum>
  <w:abstractNum w:abstractNumId="21">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543E0E21"/>
    <w:multiLevelType w:val="singleLevel"/>
    <w:tmpl w:val="C91AA670"/>
    <w:lvl w:ilvl="0">
      <w:start w:val="1"/>
      <w:numFmt w:val="lowerLetter"/>
      <w:lvlText w:val="%1."/>
      <w:legacy w:legacy="1" w:legacySpace="288" w:legacyIndent="720"/>
      <w:lvlJc w:val="left"/>
    </w:lvl>
  </w:abstractNum>
  <w:abstractNum w:abstractNumId="23">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nsid w:val="611A6346"/>
    <w:multiLevelType w:val="singleLevel"/>
    <w:tmpl w:val="C91AA670"/>
    <w:lvl w:ilvl="0">
      <w:start w:val="1"/>
      <w:numFmt w:val="lowerLetter"/>
      <w:lvlText w:val="%1."/>
      <w:legacy w:legacy="1" w:legacySpace="288" w:legacyIndent="720"/>
      <w:lvlJc w:val="left"/>
    </w:lvl>
  </w:abstractNum>
  <w:abstractNum w:abstractNumId="25">
    <w:nsid w:val="65E71ABB"/>
    <w:multiLevelType w:val="singleLevel"/>
    <w:tmpl w:val="C91AA670"/>
    <w:lvl w:ilvl="0">
      <w:start w:val="1"/>
      <w:numFmt w:val="lowerLetter"/>
      <w:lvlText w:val="%1."/>
      <w:legacy w:legacy="1" w:legacySpace="288" w:legacyIndent="720"/>
      <w:lvlJc w:val="left"/>
    </w:lvl>
  </w:abstractNum>
  <w:abstractNum w:abstractNumId="26">
    <w:nsid w:val="68874A0D"/>
    <w:multiLevelType w:val="singleLevel"/>
    <w:tmpl w:val="C91AA670"/>
    <w:lvl w:ilvl="0">
      <w:start w:val="1"/>
      <w:numFmt w:val="lowerLetter"/>
      <w:lvlText w:val="%1."/>
      <w:legacy w:legacy="1" w:legacySpace="288" w:legacyIndent="720"/>
      <w:lvlJc w:val="left"/>
    </w:lvl>
  </w:abstractNum>
  <w:abstractNum w:abstractNumId="27">
    <w:nsid w:val="71E2383C"/>
    <w:multiLevelType w:val="singleLevel"/>
    <w:tmpl w:val="C91AA670"/>
    <w:lvl w:ilvl="0">
      <w:start w:val="1"/>
      <w:numFmt w:val="lowerLetter"/>
      <w:lvlText w:val="%1."/>
      <w:legacy w:legacy="1" w:legacySpace="288" w:legacyIndent="720"/>
      <w:lvlJc w:val="left"/>
    </w:lvl>
  </w:abstractNum>
  <w:abstractNum w:abstractNumId="28">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9">
    <w:nsid w:val="7EAB3554"/>
    <w:multiLevelType w:val="singleLevel"/>
    <w:tmpl w:val="C91AA670"/>
    <w:lvl w:ilvl="0">
      <w:start w:val="1"/>
      <w:numFmt w:val="lowerLetter"/>
      <w:lvlText w:val="%1."/>
      <w:legacy w:legacy="1" w:legacySpace="288" w:legacyIndent="720"/>
      <w:lvlJc w:val="left"/>
    </w:lvl>
  </w:abstractNum>
  <w:abstractNum w:abstractNumId="3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8"/>
  </w:num>
  <w:num w:numId="3">
    <w:abstractNumId w:val="3"/>
  </w:num>
  <w:num w:numId="4">
    <w:abstractNumId w:val="17"/>
  </w:num>
  <w:num w:numId="5">
    <w:abstractNumId w:val="15"/>
  </w:num>
  <w:num w:numId="6">
    <w:abstractNumId w:val="26"/>
  </w:num>
  <w:num w:numId="7">
    <w:abstractNumId w:val="2"/>
  </w:num>
  <w:num w:numId="8">
    <w:abstractNumId w:val="28"/>
  </w:num>
  <w:num w:numId="9">
    <w:abstractNumId w:val="8"/>
  </w:num>
  <w:num w:numId="10">
    <w:abstractNumId w:val="13"/>
  </w:num>
  <w:num w:numId="11">
    <w:abstractNumId w:val="27"/>
  </w:num>
  <w:num w:numId="12">
    <w:abstractNumId w:val="11"/>
  </w:num>
  <w:num w:numId="13">
    <w:abstractNumId w:val="6"/>
  </w:num>
  <w:num w:numId="14">
    <w:abstractNumId w:val="20"/>
  </w:num>
  <w:num w:numId="15">
    <w:abstractNumId w:val="29"/>
  </w:num>
  <w:num w:numId="16">
    <w:abstractNumId w:val="30"/>
  </w:num>
  <w:num w:numId="17">
    <w:abstractNumId w:val="4"/>
  </w:num>
  <w:num w:numId="18">
    <w:abstractNumId w:val="9"/>
  </w:num>
  <w:num w:numId="19">
    <w:abstractNumId w:val="7"/>
  </w:num>
  <w:num w:numId="20">
    <w:abstractNumId w:val="22"/>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0"/>
    <w:lvlOverride w:ilvl="0">
      <w:startOverride w:val="9"/>
    </w:lvlOverride>
  </w:num>
  <w:num w:numId="25">
    <w:abstractNumId w:val="19"/>
  </w:num>
  <w:num w:numId="26">
    <w:abstractNumId w:val="21"/>
  </w:num>
  <w:num w:numId="27">
    <w:abstractNumId w:val="12"/>
  </w:num>
  <w:num w:numId="28">
    <w:abstractNumId w:val="24"/>
  </w:num>
  <w:num w:numId="29">
    <w:abstractNumId w:val="14"/>
  </w:num>
  <w:num w:numId="30">
    <w:abstractNumId w:val="1"/>
  </w:num>
  <w:num w:numId="31">
    <w:abstractNumId w:val="10"/>
  </w:num>
  <w:num w:numId="32">
    <w:abstractNumId w:val="25"/>
  </w:num>
  <w:num w:numId="33">
    <w:abstractNumId w:val="1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3E"/>
    <w:rsid w:val="001217DA"/>
    <w:rsid w:val="00154836"/>
    <w:rsid w:val="001721D7"/>
    <w:rsid w:val="001727FC"/>
    <w:rsid w:val="001909DB"/>
    <w:rsid w:val="00193A11"/>
    <w:rsid w:val="001B4A68"/>
    <w:rsid w:val="00235E7F"/>
    <w:rsid w:val="00253CDB"/>
    <w:rsid w:val="0026582F"/>
    <w:rsid w:val="003A4ED7"/>
    <w:rsid w:val="003F64A5"/>
    <w:rsid w:val="00425A70"/>
    <w:rsid w:val="00441C79"/>
    <w:rsid w:val="004C69FA"/>
    <w:rsid w:val="006901C3"/>
    <w:rsid w:val="006A2671"/>
    <w:rsid w:val="006F0AA1"/>
    <w:rsid w:val="007209EA"/>
    <w:rsid w:val="007C7826"/>
    <w:rsid w:val="00806B61"/>
    <w:rsid w:val="0088343D"/>
    <w:rsid w:val="008C0097"/>
    <w:rsid w:val="00917A55"/>
    <w:rsid w:val="00985AC5"/>
    <w:rsid w:val="009C383B"/>
    <w:rsid w:val="009F355F"/>
    <w:rsid w:val="00A215D7"/>
    <w:rsid w:val="00A7363D"/>
    <w:rsid w:val="00B738CB"/>
    <w:rsid w:val="00C45C0F"/>
    <w:rsid w:val="00C539FD"/>
    <w:rsid w:val="00CE1747"/>
    <w:rsid w:val="00CE29B3"/>
    <w:rsid w:val="00D73010"/>
    <w:rsid w:val="00DD7C6C"/>
    <w:rsid w:val="00E41BBB"/>
    <w:rsid w:val="00E611FA"/>
    <w:rsid w:val="00EC37E4"/>
    <w:rsid w:val="00EC3EFF"/>
    <w:rsid w:val="00F6743E"/>
    <w:rsid w:val="00F96761"/>
    <w:rsid w:val="00F97D40"/>
    <w:rsid w:val="00FB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Proprec">
    <w:name w:val="Prop/rec"/>
    <w:basedOn w:val="Normal"/>
    <w:next w:val="Normal"/>
    <w:link w:val="ProprecChar"/>
    <w:qFormat/>
    <w:rsid w:val="00154836"/>
    <w:pPr>
      <w:numPr>
        <w:numId w:val="34"/>
      </w:numPr>
      <w:tabs>
        <w:tab w:val="clear" w:pos="720"/>
        <w:tab w:val="clear" w:pos="1440"/>
        <w:tab w:val="clear" w:pos="2160"/>
        <w:tab w:val="clear" w:pos="2880"/>
        <w:tab w:val="clear" w:pos="4680"/>
        <w:tab w:val="clear" w:pos="5400"/>
        <w:tab w:val="clear" w:pos="9000"/>
        <w:tab w:val="left" w:pos="0"/>
      </w:tabs>
      <w:ind w:left="1440" w:hanging="720"/>
      <w:outlineLvl w:val="4"/>
    </w:pPr>
    <w:rPr>
      <w:b/>
      <w:szCs w:val="22"/>
    </w:rPr>
  </w:style>
  <w:style w:type="character" w:customStyle="1" w:styleId="ProprecChar">
    <w:name w:val="Prop/rec Char"/>
    <w:link w:val="Proprec"/>
    <w:rsid w:val="00154836"/>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Proprec">
    <w:name w:val="Prop/rec"/>
    <w:basedOn w:val="Normal"/>
    <w:next w:val="Normal"/>
    <w:link w:val="ProprecChar"/>
    <w:qFormat/>
    <w:rsid w:val="00154836"/>
    <w:pPr>
      <w:numPr>
        <w:numId w:val="34"/>
      </w:numPr>
      <w:tabs>
        <w:tab w:val="clear" w:pos="720"/>
        <w:tab w:val="clear" w:pos="1440"/>
        <w:tab w:val="clear" w:pos="2160"/>
        <w:tab w:val="clear" w:pos="2880"/>
        <w:tab w:val="clear" w:pos="4680"/>
        <w:tab w:val="clear" w:pos="5400"/>
        <w:tab w:val="clear" w:pos="9000"/>
        <w:tab w:val="left" w:pos="0"/>
      </w:tabs>
      <w:ind w:left="1440" w:hanging="720"/>
      <w:outlineLvl w:val="4"/>
    </w:pPr>
    <w:rPr>
      <w:b/>
      <w:szCs w:val="22"/>
    </w:rPr>
  </w:style>
  <w:style w:type="character" w:customStyle="1" w:styleId="ProprecChar">
    <w:name w:val="Prop/rec Char"/>
    <w:link w:val="Proprec"/>
    <w:rsid w:val="00154836"/>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lawcom.gov.uk/contact-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cotlawcom.gsi.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BF9A-F758-409C-8C4D-BB1B34D2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Response Form</Template>
  <TotalTime>1</TotalTime>
  <Pages>12</Pages>
  <Words>1948</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13776</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FIX</dc:creator>
  <cp:keywords>SLC - Response Form</cp:keywords>
  <cp:lastModifiedBy>n102363</cp:lastModifiedBy>
  <cp:revision>3</cp:revision>
  <cp:lastPrinted>2007-06-05T14:25:00Z</cp:lastPrinted>
  <dcterms:created xsi:type="dcterms:W3CDTF">2018-05-15T15:32:00Z</dcterms:created>
  <dcterms:modified xsi:type="dcterms:W3CDTF">2018-05-16T11:58:00Z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